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C209FE4">
      <w:pPr>
        <w:spacing w:line="360" w:lineRule="auto"/>
        <w:jc w:val="center"/>
        <w:textAlignment w:val="center"/>
        <w:rPr>
          <w:rFonts w:hint="eastAsia" w:ascii="宋体" w:hAnsi="宋体" w:cs="宋体"/>
          <w:b/>
          <w:color w:val="auto"/>
          <w:sz w:val="36"/>
          <w:szCs w:val="36"/>
          <w:lang w:val="en-US" w:eastAsia="zh-CN"/>
        </w:rPr>
      </w:pPr>
      <w:r>
        <w:drawing>
          <wp:inline distT="0" distB="0" distL="114300" distR="114300">
            <wp:extent cx="12700" cy="127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10"/>
                    <a:stretch>
                      <a:fillRect/>
                    </a:stretch>
                  </pic:blipFill>
                  <pic:spPr>
                    <a:xfrm>
                      <a:off x="0" y="0"/>
                      <a:ext cx="12700" cy="12700"/>
                    </a:xfrm>
                    <a:prstGeom prst="rect">
                      <a:avLst/>
                    </a:prstGeom>
                  </pic:spPr>
                </pic:pic>
              </a:graphicData>
            </a:graphic>
          </wp:inline>
        </w:drawing>
      </w:r>
      <w:r>
        <w:rPr>
          <w:rFonts w:hint="eastAsia" w:ascii="宋体" w:hAnsi="宋体" w:cs="宋体"/>
          <w:b/>
          <w:color w:val="auto"/>
          <w:sz w:val="36"/>
          <w:szCs w:val="36"/>
          <w:lang w:val="en-US" w:eastAsia="zh-CN"/>
        </w:rPr>
        <w:t>深圳外国语学校高中部2027届暑假生物综合</w:t>
      </w:r>
    </w:p>
    <w:p w14:paraId="022910F2">
      <w:pPr>
        <w:spacing w:line="360" w:lineRule="auto"/>
        <w:jc w:val="center"/>
        <w:textAlignment w:val="center"/>
        <w:rPr>
          <w:rFonts w:hint="default" w:ascii="宋体" w:hAnsi="宋体" w:eastAsia="宋体" w:cs="宋体"/>
          <w:b/>
          <w:color w:val="auto"/>
          <w:sz w:val="36"/>
          <w:szCs w:val="36"/>
          <w:lang w:val="en-US" w:eastAsia="zh-CN"/>
        </w:rPr>
      </w:pPr>
      <w:r>
        <w:rPr>
          <w:rFonts w:hint="eastAsia" w:ascii="宋体" w:hAnsi="宋体" w:cs="宋体"/>
          <w:b/>
          <w:color w:val="auto"/>
          <w:sz w:val="36"/>
          <w:szCs w:val="36"/>
          <w:lang w:val="en-US" w:eastAsia="zh-CN"/>
        </w:rPr>
        <w:t>练习卷（一）</w:t>
      </w:r>
    </w:p>
    <w:p w14:paraId="633C9DCC">
      <w:pPr>
        <w:spacing w:line="360" w:lineRule="auto"/>
        <w:jc w:val="center"/>
        <w:textAlignment w:val="center"/>
      </w:pPr>
      <w:r>
        <w:rPr>
          <w:rFonts w:ascii="宋体" w:hAnsi="宋体" w:eastAsia="宋体" w:cs="宋体"/>
          <w:b/>
          <w:color w:val="auto"/>
          <w:sz w:val="24"/>
        </w:rPr>
        <w:t>本试卷共</w:t>
      </w:r>
      <w:r>
        <w:rPr>
          <w:rFonts w:hint="eastAsia" w:cs="Times New Roman"/>
          <w:b/>
          <w:color w:val="auto"/>
          <w:sz w:val="24"/>
          <w:lang w:val="en-US" w:eastAsia="zh-CN"/>
        </w:rPr>
        <w:t>7</w:t>
      </w:r>
      <w:r>
        <w:rPr>
          <w:rFonts w:ascii="宋体" w:hAnsi="宋体" w:eastAsia="宋体" w:cs="宋体"/>
          <w:b/>
          <w:color w:val="auto"/>
          <w:sz w:val="24"/>
        </w:rPr>
        <w:t>页，</w:t>
      </w:r>
      <w:r>
        <w:rPr>
          <w:rFonts w:ascii="Times New Roman" w:hAnsi="Times New Roman" w:eastAsia="Times New Roman" w:cs="Times New Roman"/>
          <w:b/>
          <w:color w:val="auto"/>
          <w:sz w:val="24"/>
        </w:rPr>
        <w:t>100</w:t>
      </w:r>
      <w:r>
        <w:rPr>
          <w:rFonts w:ascii="宋体" w:hAnsi="宋体" w:eastAsia="宋体" w:cs="宋体"/>
          <w:b/>
          <w:color w:val="auto"/>
          <w:sz w:val="24"/>
        </w:rPr>
        <w:t>分。考试时长</w:t>
      </w:r>
      <w:r>
        <w:rPr>
          <w:rFonts w:hint="eastAsia" w:cs="Times New Roman"/>
          <w:b/>
          <w:color w:val="auto"/>
          <w:sz w:val="24"/>
          <w:lang w:val="en-US" w:eastAsia="zh-CN"/>
        </w:rPr>
        <w:t>75</w:t>
      </w:r>
      <w:r>
        <w:rPr>
          <w:rFonts w:ascii="宋体" w:hAnsi="宋体" w:eastAsia="宋体" w:cs="宋体"/>
          <w:b/>
          <w:color w:val="auto"/>
          <w:sz w:val="24"/>
        </w:rPr>
        <w:t>分钟。</w:t>
      </w:r>
    </w:p>
    <w:p w14:paraId="7285BBA9">
      <w:pPr>
        <w:keepNext w:val="0"/>
        <w:keepLines w:val="0"/>
        <w:pageBreakBefore w:val="0"/>
        <w:widowControl w:val="0"/>
        <w:kinsoku/>
        <w:wordWrap/>
        <w:overflowPunct/>
        <w:topLinePunct w:val="0"/>
        <w:autoSpaceDE/>
        <w:autoSpaceDN/>
        <w:bidi w:val="0"/>
        <w:adjustRightInd/>
        <w:snapToGrid/>
        <w:spacing w:line="240" w:lineRule="auto"/>
        <w:jc w:val="center"/>
        <w:textAlignment w:val="center"/>
      </w:pPr>
      <w:r>
        <w:rPr>
          <w:rFonts w:ascii="宋体" w:hAnsi="宋体" w:eastAsia="宋体" w:cs="宋体"/>
          <w:b/>
          <w:color w:val="auto"/>
          <w:sz w:val="24"/>
        </w:rPr>
        <w:t>第一部分</w:t>
      </w:r>
    </w:p>
    <w:p w14:paraId="6239C3EF">
      <w:pPr>
        <w:keepNext w:val="0"/>
        <w:keepLines w:val="0"/>
        <w:pageBreakBefore w:val="0"/>
        <w:widowControl w:val="0"/>
        <w:kinsoku/>
        <w:wordWrap/>
        <w:overflowPunct/>
        <w:topLinePunct w:val="0"/>
        <w:autoSpaceDE/>
        <w:autoSpaceDN/>
        <w:bidi w:val="0"/>
        <w:adjustRightInd/>
        <w:snapToGrid/>
        <w:spacing w:line="240" w:lineRule="auto"/>
        <w:jc w:val="left"/>
        <w:textAlignment w:val="center"/>
        <w:rPr>
          <w:rFonts w:ascii="宋体" w:hAnsi="宋体" w:eastAsia="宋体" w:cs="宋体"/>
          <w:b/>
          <w:i w:val="0"/>
          <w:color w:val="000000"/>
          <w:sz w:val="21"/>
        </w:rPr>
      </w:pPr>
      <w:r>
        <w:rPr>
          <w:rFonts w:ascii="宋体" w:hAnsi="宋体" w:eastAsia="宋体" w:cs="宋体"/>
          <w:b/>
          <w:color w:val="auto"/>
          <w:sz w:val="24"/>
        </w:rPr>
        <w:t>本部分共</w:t>
      </w:r>
      <w:r>
        <w:rPr>
          <w:rFonts w:ascii="Times New Roman" w:hAnsi="Times New Roman" w:eastAsia="Times New Roman" w:cs="Times New Roman"/>
          <w:b/>
          <w:color w:val="auto"/>
          <w:sz w:val="24"/>
        </w:rPr>
        <w:t>1</w:t>
      </w:r>
      <w:r>
        <w:rPr>
          <w:rFonts w:hint="eastAsia" w:cs="Times New Roman"/>
          <w:b/>
          <w:color w:val="auto"/>
          <w:sz w:val="24"/>
          <w:lang w:val="en-US" w:eastAsia="zh-CN"/>
        </w:rPr>
        <w:t>6</w:t>
      </w:r>
      <w:r>
        <w:rPr>
          <w:rFonts w:ascii="宋体" w:hAnsi="宋体" w:eastAsia="宋体" w:cs="宋体"/>
          <w:b/>
          <w:color w:val="auto"/>
          <w:sz w:val="24"/>
        </w:rPr>
        <w:t>题，</w:t>
      </w:r>
      <w:r>
        <w:rPr>
          <w:rFonts w:hint="eastAsia" w:ascii="宋体" w:hAnsi="宋体" w:cs="宋体"/>
          <w:b/>
          <w:color w:val="auto"/>
          <w:sz w:val="24"/>
          <w:lang w:val="en-US" w:eastAsia="zh-CN"/>
        </w:rPr>
        <w:t>其中1-12题为</w:t>
      </w:r>
      <w:r>
        <w:rPr>
          <w:rFonts w:ascii="宋体" w:hAnsi="宋体" w:eastAsia="宋体" w:cs="宋体"/>
          <w:b/>
          <w:color w:val="auto"/>
          <w:sz w:val="24"/>
        </w:rPr>
        <w:t>每题</w:t>
      </w:r>
      <w:r>
        <w:rPr>
          <w:rFonts w:ascii="Times New Roman" w:hAnsi="Times New Roman" w:eastAsia="Times New Roman" w:cs="Times New Roman"/>
          <w:b/>
          <w:color w:val="auto"/>
          <w:sz w:val="24"/>
        </w:rPr>
        <w:t>2</w:t>
      </w:r>
      <w:r>
        <w:rPr>
          <w:rFonts w:ascii="宋体" w:hAnsi="宋体" w:eastAsia="宋体" w:cs="宋体"/>
          <w:b/>
          <w:color w:val="auto"/>
          <w:sz w:val="24"/>
        </w:rPr>
        <w:t>分，</w:t>
      </w:r>
      <w:r>
        <w:rPr>
          <w:rFonts w:hint="eastAsia" w:ascii="宋体" w:hAnsi="宋体" w:cs="宋体"/>
          <w:b/>
          <w:color w:val="auto"/>
          <w:sz w:val="24"/>
          <w:lang w:val="en-US" w:eastAsia="zh-CN"/>
        </w:rPr>
        <w:t>13—16题每题4分，</w:t>
      </w:r>
      <w:r>
        <w:rPr>
          <w:rFonts w:ascii="宋体" w:hAnsi="宋体" w:eastAsia="宋体" w:cs="宋体"/>
          <w:b/>
          <w:color w:val="auto"/>
          <w:sz w:val="24"/>
        </w:rPr>
        <w:t>共</w:t>
      </w:r>
      <w:r>
        <w:rPr>
          <w:rFonts w:hint="eastAsia" w:cs="Times New Roman"/>
          <w:b/>
          <w:color w:val="auto"/>
          <w:sz w:val="24"/>
          <w:lang w:val="en-US" w:eastAsia="zh-CN"/>
        </w:rPr>
        <w:t>40</w:t>
      </w:r>
      <w:r>
        <w:rPr>
          <w:rFonts w:ascii="宋体" w:hAnsi="宋体" w:eastAsia="宋体" w:cs="宋体"/>
          <w:b/>
          <w:color w:val="auto"/>
          <w:sz w:val="24"/>
        </w:rPr>
        <w:t>分。在每题列出的四个选项中，选出最符合题目要求的一项。</w:t>
      </w:r>
    </w:p>
    <w:p w14:paraId="1C4966C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1．“碳汇渔业”，又称“不投饵渔业”，是指充分发挥生物碳汇功能，通过收获水产品直接或间接减少CO</w:t>
      </w:r>
      <w:r>
        <w:rPr>
          <w:sz w:val="21"/>
          <w:vertAlign w:val="subscript"/>
        </w:rPr>
        <w:t>2</w:t>
      </w:r>
      <w:r>
        <w:rPr>
          <w:sz w:val="21"/>
        </w:rPr>
        <w:t>的渔业生产活动，是我国实现“双碳”目标、践行“大食物观”的举措之一。下列生产活动属于“碳汇渔业”的是（</w:t>
      </w:r>
      <w:r>
        <w:rPr>
          <w:rFonts w:ascii="Times New Roman" w:hAnsi="Times New Roman" w:eastAsia="Times New Roman" w:cs="Times New Roman"/>
          <w:kern w:val="0"/>
          <w:sz w:val="24"/>
          <w:szCs w:val="24"/>
        </w:rPr>
        <w:t>    </w:t>
      </w:r>
      <w:r>
        <w:rPr>
          <w:sz w:val="21"/>
        </w:rPr>
        <w:t>）</w:t>
      </w:r>
    </w:p>
    <w:p w14:paraId="7F499B04">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A．开发海洋牧场，发展深海渔业</w:t>
      </w:r>
      <w:r>
        <w:rPr>
          <w:rFonts w:hint="eastAsia"/>
          <w:sz w:val="21"/>
          <w:lang w:val="en-US" w:eastAsia="zh-CN"/>
        </w:rPr>
        <w:t xml:space="preserve">       </w:t>
      </w:r>
      <w:r>
        <w:rPr>
          <w:sz w:val="21"/>
        </w:rPr>
        <w:t>B．建设大坝鱼道，保障鱼类洄游</w:t>
      </w:r>
    </w:p>
    <w:p w14:paraId="4C7F606B">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C．控制无序捕捞，实施长江禁渔</w:t>
      </w:r>
      <w:r>
        <w:rPr>
          <w:rFonts w:hint="eastAsia"/>
          <w:sz w:val="21"/>
          <w:lang w:val="en-US" w:eastAsia="zh-CN"/>
        </w:rPr>
        <w:t xml:space="preserve">       </w:t>
      </w:r>
      <w:r>
        <w:rPr>
          <w:sz w:val="21"/>
        </w:rPr>
        <w:t>D．增加饵料投放，提高渔业产量</w:t>
      </w:r>
    </w:p>
    <w:p w14:paraId="7418376D">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2．2019年，我国科考队在太平洋马里亚纳海沟采集到一种蓝细菌，其细胞内存在由两层膜组成的片层结构，此结构可进行光合作用与呼吸作用。在该结构中，下列物质存在的可能性最小的是（　　）</w:t>
      </w:r>
    </w:p>
    <w:p w14:paraId="42357F56">
      <w:pPr>
        <w:keepNext w:val="0"/>
        <w:keepLines w:val="0"/>
        <w:pageBreakBefore w:val="0"/>
        <w:widowControl w:val="0"/>
        <w:shd w:val="clear" w:color="auto" w:fill="auto"/>
        <w:tabs>
          <w:tab w:val="left" w:pos="2078"/>
          <w:tab w:val="left" w:pos="4156"/>
          <w:tab w:val="left" w:pos="6234"/>
        </w:tabs>
        <w:kinsoku/>
        <w:wordWrap/>
        <w:overflowPunct/>
        <w:topLinePunct w:val="0"/>
        <w:autoSpaceDE/>
        <w:autoSpaceDN/>
        <w:bidi w:val="0"/>
        <w:adjustRightInd/>
        <w:snapToGrid/>
        <w:spacing w:line="240" w:lineRule="auto"/>
        <w:ind w:left="300"/>
        <w:jc w:val="left"/>
        <w:textAlignment w:val="center"/>
        <w:rPr>
          <w:sz w:val="21"/>
        </w:rPr>
      </w:pPr>
      <w:r>
        <w:rPr>
          <w:sz w:val="21"/>
        </w:rPr>
        <w:t>A．ATP</w:t>
      </w:r>
      <w:r>
        <w:rPr>
          <w:sz w:val="21"/>
        </w:rPr>
        <w:tab/>
      </w:r>
      <w:r>
        <w:rPr>
          <w:sz w:val="21"/>
        </w:rPr>
        <w:t>B．NADP</w:t>
      </w:r>
      <w:r>
        <w:rPr>
          <w:sz w:val="21"/>
          <w:vertAlign w:val="superscript"/>
        </w:rPr>
        <w:t>+</w:t>
      </w:r>
      <w:r>
        <w:rPr>
          <w:sz w:val="21"/>
        </w:rPr>
        <w:tab/>
      </w:r>
      <w:r>
        <w:rPr>
          <w:sz w:val="21"/>
        </w:rPr>
        <w:t>C．NADH</w:t>
      </w:r>
      <w:r>
        <w:rPr>
          <w:sz w:val="21"/>
        </w:rPr>
        <w:tab/>
      </w:r>
      <w:r>
        <w:rPr>
          <w:sz w:val="21"/>
        </w:rPr>
        <w:t>D．DNA</w:t>
      </w:r>
    </w:p>
    <w:p w14:paraId="4B464392">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3．银杏是我国特有的珍稀植物，其叶片变黄后极具观赏价值。某同学用纸层析法探究银杏绿叶和黄叶的色素差别，下列实验操作正确的是（　　）</w:t>
      </w:r>
    </w:p>
    <w:p w14:paraId="15C9B8C5">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A．选择新鲜程度不同的叶片混合研磨</w:t>
      </w:r>
      <w:r>
        <w:rPr>
          <w:rFonts w:hint="eastAsia"/>
          <w:sz w:val="21"/>
          <w:lang w:val="en-US" w:eastAsia="zh-CN"/>
        </w:rPr>
        <w:t xml:space="preserve">       </w:t>
      </w:r>
      <w:r>
        <w:rPr>
          <w:sz w:val="21"/>
        </w:rPr>
        <w:t>B．研磨时用水补充损失的提取液</w:t>
      </w:r>
    </w:p>
    <w:p w14:paraId="3A7B5702">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C．将两组滤纸条置于同一烧杯中层析</w:t>
      </w:r>
      <w:r>
        <w:rPr>
          <w:rFonts w:hint="eastAsia"/>
          <w:sz w:val="21"/>
          <w:lang w:val="en-US" w:eastAsia="zh-CN"/>
        </w:rPr>
        <w:t xml:space="preserve">       </w:t>
      </w:r>
      <w:r>
        <w:rPr>
          <w:sz w:val="21"/>
        </w:rPr>
        <w:t>D．用过的层析液直接倒入下水道</w:t>
      </w:r>
    </w:p>
    <w:p w14:paraId="0F792542">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4．关于技术进步与科学发现之间的促进关系，下列叙述正确的是（　　）</w:t>
      </w:r>
    </w:p>
    <w:p w14:paraId="1193A83C">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A．电子显微镜的发明促进细胞学说的提出</w:t>
      </w:r>
    </w:p>
    <w:p w14:paraId="4FE3705B">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B．差速离心法的应用促进对细胞器的认识</w:t>
      </w:r>
    </w:p>
    <w:p w14:paraId="5CF54CC4">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C．光合作用的解析促进花期控制技术的成熟</w:t>
      </w:r>
    </w:p>
    <w:p w14:paraId="5B2A048B">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D．RNA聚合酶的发现促进PCR技术的发明</w:t>
      </w:r>
    </w:p>
    <w:p w14:paraId="3EB12447">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5．研究发现，敲除某种兼性厌氧酵母（WT）sqr基因后获得的突变株△sqr中，线粒体出现碎片化现象，且数量减少。下列分析错误的是（　　）</w:t>
      </w:r>
    </w:p>
    <w:p w14:paraId="0754652B">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A．碎片化的线粒体无法正常进行有氧呼吸</w:t>
      </w:r>
    </w:p>
    <w:p w14:paraId="39202EB8">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B．线粒体数量减少使△sqr的有氧呼吸减弱</w:t>
      </w:r>
    </w:p>
    <w:p w14:paraId="49F14A14">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C．有氧条件下，WT 比△sqr的生长速度快</w:t>
      </w:r>
    </w:p>
    <w:p w14:paraId="1E18956F">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D．无氧条件下，WT 比△sqr产生更多的ATP</w:t>
      </w:r>
    </w:p>
    <w:p w14:paraId="1DEC21C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6．研究发现，耐力运动训练能促进老年小鼠大脑海马区神经发生，改善记忆功能。下列生命活动过程中，不直接涉及记忆功能改善的是 （　　）</w:t>
      </w:r>
    </w:p>
    <w:p w14:paraId="5B37F674">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A．交感神经活动增加</w:t>
      </w:r>
      <w:r>
        <w:rPr>
          <w:rFonts w:hint="eastAsia"/>
          <w:sz w:val="21"/>
          <w:lang w:val="en-US" w:eastAsia="zh-CN"/>
        </w:rPr>
        <w:t xml:space="preserve">        </w:t>
      </w:r>
      <w:r>
        <w:rPr>
          <w:sz w:val="21"/>
        </w:rPr>
        <w:t>B．突触间信息传递增加</w:t>
      </w:r>
    </w:p>
    <w:p w14:paraId="30E7038C">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C．新突触的建立增加</w:t>
      </w:r>
      <w:r>
        <w:rPr>
          <w:rFonts w:hint="eastAsia"/>
          <w:sz w:val="21"/>
          <w:lang w:val="en-US" w:eastAsia="zh-CN"/>
        </w:rPr>
        <w:t xml:space="preserve">        </w:t>
      </w:r>
      <w:r>
        <w:rPr>
          <w:sz w:val="21"/>
        </w:rPr>
        <w:t>D．新生神经元数量增加</w:t>
      </w:r>
    </w:p>
    <w:p w14:paraId="1BD64F9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7．某患者甲状腺激素分泌不足。经诊断，医生建议采用激素治疗。下列叙述错误的是（　　）</w:t>
      </w:r>
    </w:p>
    <w:p w14:paraId="1E7E6798">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A．若该患者血液TSH水平低于正常，可能是垂体功能异常</w:t>
      </w:r>
    </w:p>
    <w:p w14:paraId="6A599737">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B．若该患者血液TSH水平高于正常，可能是甲状腺功能异常</w:t>
      </w:r>
    </w:p>
    <w:p w14:paraId="49C8A5DA">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C．甲状腺激素治疗可恢复患者甲状腺的分泌功能</w:t>
      </w:r>
    </w:p>
    <w:p w14:paraId="7E23BCA7">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D．检测血液中相关激素水平可评估治疗效果</w:t>
      </w:r>
    </w:p>
    <w:p w14:paraId="63D0493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8．松树受到松叶蜂幼虫攻击时，会释放植物信息素，吸引寄生蜂将卵产入松叶蜂幼虫体内，寄生蜂卵孵化后以松叶蜂幼虫为食。下列分析错误的是（　　）</w:t>
      </w:r>
    </w:p>
    <w:p w14:paraId="6A7C3ACB">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p>
    <w:p w14:paraId="7FC252DB">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A．该过程中松树释放的信息应是化学信息</w:t>
      </w:r>
    </w:p>
    <w:p w14:paraId="77C78A19">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B．3种生物凭借该信息相互联系形成食物链</w:t>
      </w:r>
    </w:p>
    <w:p w14:paraId="660506DC">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C．松树和寄生蜂的种间关系属于原始合作</w:t>
      </w:r>
    </w:p>
    <w:p w14:paraId="777985AB">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D．该信息有利于维持松林群落的平衡与稳定</w:t>
      </w:r>
    </w:p>
    <w:p w14:paraId="489F1BA3">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9．克氏综合征是一种性染色体异常疾病。某克氏综合征患儿及其父母的性染色体组成见图。Xg1和Xg2为X染色体上的等位基因。导致该患儿染色体异常最可能的原因是（　　）</w:t>
      </w:r>
    </w:p>
    <w:p w14:paraId="7CF00DB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986405" cy="1077595"/>
            <wp:effectExtent l="0" t="0" r="10795" b="1905"/>
            <wp:docPr id="100003" name="图片 100003" descr="@@@96d84e0f-56e8-4d15-9fae-f730a6afba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96d84e0f-56e8-4d15-9fae-f730a6afbae3"/>
                    <pic:cNvPicPr>
                      <a:picLocks noChangeAspect="1"/>
                    </pic:cNvPicPr>
                  </pic:nvPicPr>
                  <pic:blipFill>
                    <a:blip r:embed="rId11"/>
                    <a:stretch>
                      <a:fillRect/>
                    </a:stretch>
                  </pic:blipFill>
                  <pic:spPr>
                    <a:xfrm>
                      <a:off x="0" y="0"/>
                      <a:ext cx="2986405" cy="1077595"/>
                    </a:xfrm>
                    <a:prstGeom prst="rect">
                      <a:avLst/>
                    </a:prstGeom>
                  </pic:spPr>
                </pic:pic>
              </a:graphicData>
            </a:graphic>
          </wp:inline>
        </w:drawing>
      </w:r>
    </w:p>
    <w:p w14:paraId="15F467AF">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A．精母细胞减数分裂Ⅰ性染色体不分离</w:t>
      </w:r>
    </w:p>
    <w:p w14:paraId="04039977">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B．精母细胞减数分裂Ⅱ性染色体不分离</w:t>
      </w:r>
    </w:p>
    <w:p w14:paraId="37C34F03">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C．卵母细胞减数分裂Ⅰ性染色体不分离</w:t>
      </w:r>
    </w:p>
    <w:p w14:paraId="24A99E4B">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00"/>
        <w:jc w:val="left"/>
        <w:textAlignment w:val="center"/>
        <w:rPr>
          <w:sz w:val="21"/>
        </w:rPr>
      </w:pPr>
      <w:r>
        <w:rPr>
          <w:sz w:val="21"/>
        </w:rPr>
        <w:t>D．卵母细胞减数分裂Ⅱ性染色体不分离</w:t>
      </w:r>
    </w:p>
    <w:p w14:paraId="1EB49089">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10．研究发现，短暂地抑制果蝇幼虫中PcG 蛋白（具有组蛋白修饰功能）的合成，会启动原癌基因zfhl的表达，导致肿瘤形成。驱动此肿瘤形成的原因属于（　　）</w:t>
      </w:r>
    </w:p>
    <w:p w14:paraId="062097B5">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A．基因突变</w:t>
      </w:r>
      <w:r>
        <w:rPr>
          <w:rFonts w:hint="eastAsia"/>
          <w:sz w:val="21"/>
          <w:lang w:val="en-US" w:eastAsia="zh-CN"/>
        </w:rPr>
        <w:t xml:space="preserve">           </w:t>
      </w:r>
      <w:r>
        <w:rPr>
          <w:sz w:val="21"/>
        </w:rPr>
        <w:t>B．染色体变异</w:t>
      </w:r>
    </w:p>
    <w:p w14:paraId="7957616D">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C．基因重组</w:t>
      </w:r>
      <w:r>
        <w:rPr>
          <w:rFonts w:hint="eastAsia"/>
          <w:sz w:val="21"/>
          <w:lang w:val="en-US" w:eastAsia="zh-CN"/>
        </w:rPr>
        <w:t xml:space="preserve">           </w:t>
      </w:r>
      <w:r>
        <w:rPr>
          <w:sz w:val="21"/>
        </w:rPr>
        <w:t>D．表观遗传</w:t>
      </w:r>
    </w:p>
    <w:p w14:paraId="103E5C5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11．EDAR 基因的一个碱基替换与东亚人有更多汗腺等典型体征有关。用M、m分别表示突变前后的EDAR 基因，研究发现，m的频率从末次盛冰期后开始明显升高。下列推测合理的是（　　）</w:t>
      </w:r>
    </w:p>
    <w:p w14:paraId="60855940">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A．m的出现是自然选择的结果</w:t>
      </w:r>
    </w:p>
    <w:p w14:paraId="6F09C6D9">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B．m不存在于现代非洲和欧洲人群中</w:t>
      </w:r>
    </w:p>
    <w:p w14:paraId="6E3A13A9">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C．m的频率升高是末次盛冰期后环境选择的结果</w:t>
      </w:r>
    </w:p>
    <w:p w14:paraId="5B1E5596">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D．MM、Mm和mm个体的汗腺密度依次下降</w:t>
      </w:r>
    </w:p>
    <w:p w14:paraId="3BF0788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12．Janzen-Connel假说（詹曾-康奈尔假说）认为，某些植物母株周围会积累对自身有害的病原菌、昆虫等，从而抑制母株附近自身种子的萌发和幼苗的生长。下列现象中，不能用该假说合理解释的是（　　）</w:t>
      </w:r>
    </w:p>
    <w:p w14:paraId="01D6FB19">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A．亚热带常绿阔叶林中楠木幼苗距离母株越远，其密度越大</w:t>
      </w:r>
    </w:p>
    <w:p w14:paraId="7A9B064B">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B．鸟巢兰种子远离母株萌发时，缺少土壤共生菌，幼苗死亡</w:t>
      </w:r>
    </w:p>
    <w:p w14:paraId="1C9391B7">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C．中药材三七连续原地栽种，会暴发病虫害导致产量降低</w:t>
      </w:r>
    </w:p>
    <w:p w14:paraId="1BA3254F">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D．我国农业实践中采用的水旱轮作，可减少农药的使用量</w:t>
      </w:r>
    </w:p>
    <w:p w14:paraId="727A08C7">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rFonts w:ascii="Times New Roman" w:hAnsi="Times New Roman" w:eastAsia="Times New Roman" w:cs="Times New Roman"/>
          <w:strike w:val="0"/>
          <w:kern w:val="0"/>
          <w:sz w:val="24"/>
          <w:szCs w:val="24"/>
          <w:u w:val="none"/>
        </w:rPr>
        <w:drawing>
          <wp:anchor distT="0" distB="0" distL="114300" distR="114300" simplePos="0" relativeHeight="251659264" behindDoc="0" locked="0" layoutInCell="1" allowOverlap="1">
            <wp:simplePos x="0" y="0"/>
            <wp:positionH relativeFrom="column">
              <wp:posOffset>3786505</wp:posOffset>
            </wp:positionH>
            <wp:positionV relativeFrom="paragraph">
              <wp:posOffset>408940</wp:posOffset>
            </wp:positionV>
            <wp:extent cx="1849755" cy="1502410"/>
            <wp:effectExtent l="0" t="0" r="4445" b="8890"/>
            <wp:wrapSquare wrapText="bothSides"/>
            <wp:docPr id="100005" name="图片 100005" descr="@@@dd89e483-fed1-45d9-8068-0f62c96d8b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dd89e483-fed1-45d9-8068-0f62c96d8be8"/>
                    <pic:cNvPicPr>
                      <a:picLocks noChangeAspect="1"/>
                    </pic:cNvPicPr>
                  </pic:nvPicPr>
                  <pic:blipFill>
                    <a:blip r:embed="rId12"/>
                    <a:stretch>
                      <a:fillRect/>
                    </a:stretch>
                  </pic:blipFill>
                  <pic:spPr>
                    <a:xfrm>
                      <a:off x="0" y="0"/>
                      <a:ext cx="1849755" cy="1502410"/>
                    </a:xfrm>
                    <a:prstGeom prst="rect">
                      <a:avLst/>
                    </a:prstGeom>
                  </pic:spPr>
                </pic:pic>
              </a:graphicData>
            </a:graphic>
          </wp:anchor>
        </w:drawing>
      </w:r>
      <w:r>
        <w:rPr>
          <w:sz w:val="21"/>
        </w:rPr>
        <w:t>13．为探究人类活动对鸟类食性及物种多样性的影响，研究者调查了某地的自然保护区、农田和城区3种生境中雀形目鸟类的物种数量（取样的方法和条件一致），结果见图。下列分析错误的是（　　）</w:t>
      </w:r>
    </w:p>
    <w:p w14:paraId="2A15B129">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A．自然保护区的植被群落类型多样，鸟类物种丰富度高</w:t>
      </w:r>
    </w:p>
    <w:p w14:paraId="01BB08DB">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B．农田的鸟类比自然保护区鸟类的种间竞争更小</w:t>
      </w:r>
    </w:p>
    <w:p w14:paraId="315B0EFE">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C．自然保护区鸟类比其他生境的鸟类有更宽的空间生态位</w:t>
      </w:r>
    </w:p>
    <w:p w14:paraId="3C92844B">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D．人类活动产生的空白生态位有利于杂食性鸟类迁入</w:t>
      </w:r>
    </w:p>
    <w:p w14:paraId="40BB1702">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14．雄性不育对遗传育种有重要价值。为获得以茎的颜色或叶片形状为标记的雄性不育番茄材料，研究者用基因型为 AaCcFf的番茄植株自交，所得子代的部分结果见图。其中，控制紫茎（A）</w:t>
      </w:r>
      <w:bookmarkStart w:id="0" w:name="_GoBack"/>
      <w:bookmarkEnd w:id="0"/>
      <w:r>
        <w:rPr>
          <w:sz w:val="21"/>
        </w:rPr>
        <w:t>与绿茎（a）、缺刻叶（C）与马铃薯叶（c）的两对基因独立遗传，雄性可育（F）与雄性不育（f）为另一对相对性状，3对性状均为完全显隐性关系。下列分析正确的是（　　）</w:t>
      </w:r>
    </w:p>
    <w:p w14:paraId="40D765F7">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568700" cy="1174115"/>
            <wp:effectExtent l="0" t="0" r="0" b="6985"/>
            <wp:docPr id="100007" name="图片 100007" descr="@@@6af5250e-fd71-4e7b-b66c-16c6297fdc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6af5250e-fd71-4e7b-b66c-16c6297fdc1a"/>
                    <pic:cNvPicPr>
                      <a:picLocks noChangeAspect="1"/>
                    </pic:cNvPicPr>
                  </pic:nvPicPr>
                  <pic:blipFill>
                    <a:blip r:embed="rId13"/>
                    <a:stretch>
                      <a:fillRect/>
                    </a:stretch>
                  </pic:blipFill>
                  <pic:spPr>
                    <a:xfrm>
                      <a:off x="0" y="0"/>
                      <a:ext cx="3568700" cy="1174115"/>
                    </a:xfrm>
                    <a:prstGeom prst="rect">
                      <a:avLst/>
                    </a:prstGeom>
                  </pic:spPr>
                </pic:pic>
              </a:graphicData>
            </a:graphic>
          </wp:inline>
        </w:drawing>
      </w:r>
    </w:p>
    <w:p w14:paraId="2C363B8C">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A．育种实践中缺刻叶可以作为雄性不育材料筛选的标记</w:t>
      </w:r>
    </w:p>
    <w:p w14:paraId="733E72B7">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B．子代的雄性可育株中，缺刻叶与马铃薯叶的比例约为1：1</w:t>
      </w:r>
    </w:p>
    <w:p w14:paraId="2CEDB23B">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C．子代中紫茎雄性可育株与绿茎雄性不育株的比例约为3：1</w:t>
      </w:r>
    </w:p>
    <w:p w14:paraId="43B21373">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D．出现等量绿茎可育株与紫茎不育株是基因突变的结果</w:t>
      </w:r>
    </w:p>
    <w:p w14:paraId="71BF205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15．现有一种天然多糖降解酶，其肽链由4段序列以Ce5-Ay3-Bi-CB方式连接而成。研究者将各段序列以不同方式构建新肽链，并评价其催化活性，部分结果见表。关于各段序列的生物学功能，下列分析错误的是（　　）</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610"/>
        <w:gridCol w:w="689"/>
        <w:gridCol w:w="811"/>
        <w:gridCol w:w="750"/>
        <w:gridCol w:w="750"/>
      </w:tblGrid>
      <w:tr w14:paraId="6C6641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792A5C">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肽链</w:t>
            </w:r>
          </w:p>
        </w:tc>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A1A64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纤维素类底物</w:t>
            </w:r>
          </w:p>
        </w:tc>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887354">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褐藻酸类底物</w:t>
            </w:r>
          </w:p>
        </w:tc>
      </w:tr>
      <w:tr w14:paraId="40A9BF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0021FF7D">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ACDCE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W</w:t>
            </w:r>
            <w:r>
              <w:rPr>
                <w:sz w:val="21"/>
                <w:vertAlign w:val="subscript"/>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77E81C">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W</w:t>
            </w:r>
            <w:r>
              <w:rPr>
                <w:sz w:val="21"/>
                <w:vertAlign w:val="subscript"/>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62761D">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S</w:t>
            </w:r>
            <w:r>
              <w:rPr>
                <w:sz w:val="21"/>
                <w:vertAlign w:val="subscript"/>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991CE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S</w:t>
            </w:r>
            <w:r>
              <w:rPr>
                <w:sz w:val="21"/>
                <w:vertAlign w:val="subscript"/>
              </w:rPr>
              <w:t>2</w:t>
            </w:r>
          </w:p>
        </w:tc>
      </w:tr>
      <w:tr w14:paraId="10F0AD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67563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Ce5-Ay3-Bi-CB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CD0D3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2586EE">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3F9FB4">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46176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w:t>
            </w:r>
          </w:p>
        </w:tc>
      </w:tr>
      <w:tr w14:paraId="56CAB1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C8D18D">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Ce5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AAF73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18F39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065E1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F19339">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w:t>
            </w:r>
          </w:p>
        </w:tc>
      </w:tr>
      <w:tr w14:paraId="6E7023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2DEE4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Ay3-Bi-CB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175D03">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A6A29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92582C">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B15BE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w:t>
            </w:r>
          </w:p>
        </w:tc>
      </w:tr>
      <w:tr w14:paraId="65485E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1B58C0">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Ay3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99E2F9">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1DBEB4">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E23DD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D3E66D">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w:t>
            </w:r>
          </w:p>
        </w:tc>
      </w:tr>
      <w:tr w14:paraId="1995A8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06C19E">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Bi</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D03E00">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FEACF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E267D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E9157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w:t>
            </w:r>
          </w:p>
        </w:tc>
      </w:tr>
      <w:tr w14:paraId="58A948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2CB5BC">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8150A4">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EC5284">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3A8E23">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F0398C">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w:t>
            </w:r>
          </w:p>
        </w:tc>
      </w:tr>
    </w:tbl>
    <w:p w14:paraId="2510B093">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注：—表示无活性，+表示有活性，+越多表示活性越强。</w:t>
      </w:r>
    </w:p>
    <w:p w14:paraId="7622D30B">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A．Ay3与Ce5 催化功能不同，但可能存在相互影响</w:t>
      </w:r>
    </w:p>
    <w:p w14:paraId="19B1E33B">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B．Bi无催化活性，但可判断与Ay3的催化专一性有关</w:t>
      </w:r>
    </w:p>
    <w:p w14:paraId="7A3E2D20">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C．该酶对褐藻酸类底物的催化活性与Ce5无关</w:t>
      </w:r>
    </w:p>
    <w:p w14:paraId="0A59E60F">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D．无法判断该酶对纤维素类底物的催化活性是否与CB相关</w:t>
      </w:r>
    </w:p>
    <w:p w14:paraId="79E72880">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16．轻微触碰时，兴奋经触觉神经元传向脊髓抑制性神经元，使其释放神经递质 GABA．正常情况下，GABA作用于痛觉神经元引起Cl</w:t>
      </w:r>
      <w:r>
        <w:rPr>
          <w:sz w:val="21"/>
          <w:vertAlign w:val="superscript"/>
        </w:rPr>
        <w:t>-</w:t>
      </w:r>
      <w:r>
        <w:rPr>
          <w:sz w:val="21"/>
        </w:rPr>
        <w:t>通道开放，Cl</w:t>
      </w:r>
      <w:r>
        <w:rPr>
          <w:sz w:val="21"/>
          <w:vertAlign w:val="superscript"/>
        </w:rPr>
        <w:t>-</w:t>
      </w:r>
      <w:r>
        <w:rPr>
          <w:sz w:val="21"/>
        </w:rPr>
        <w:t>内流，不产生痛觉；患带状疱疹后，痛觉神经元上Cl</w:t>
      </w:r>
      <w:r>
        <w:rPr>
          <w:sz w:val="21"/>
          <w:vertAlign w:val="superscript"/>
        </w:rPr>
        <w:t>-</w:t>
      </w:r>
      <w:r>
        <w:rPr>
          <w:sz w:val="21"/>
        </w:rPr>
        <w:t>转运蛋白（单向转运Cl</w:t>
      </w:r>
      <w:r>
        <w:rPr>
          <w:sz w:val="21"/>
          <w:vertAlign w:val="superscript"/>
        </w:rPr>
        <w:t>-</w:t>
      </w:r>
      <w:r>
        <w:rPr>
          <w:sz w:val="21"/>
        </w:rPr>
        <w:t>）表达量改变，引起Cl</w:t>
      </w:r>
      <w:r>
        <w:rPr>
          <w:sz w:val="21"/>
          <w:vertAlign w:val="superscript"/>
        </w:rPr>
        <w:t>-</w:t>
      </w:r>
      <w:r>
        <w:rPr>
          <w:sz w:val="21"/>
        </w:rPr>
        <w:t>的转运量改变，细胞内Cl</w:t>
      </w:r>
      <w:r>
        <w:rPr>
          <w:sz w:val="21"/>
          <w:vertAlign w:val="superscript"/>
        </w:rPr>
        <w:t>-</w:t>
      </w:r>
      <w:r>
        <w:rPr>
          <w:sz w:val="21"/>
        </w:rPr>
        <w:t>浓度升高，此时轻触引起GABA作用于痛觉神经元后，Cl</w:t>
      </w:r>
      <w:r>
        <w:rPr>
          <w:sz w:val="21"/>
          <w:vertAlign w:val="superscript"/>
        </w:rPr>
        <w:t>-</w:t>
      </w:r>
      <w:r>
        <w:rPr>
          <w:sz w:val="21"/>
        </w:rPr>
        <w:t>经Cl</w:t>
      </w:r>
      <w:r>
        <w:rPr>
          <w:sz w:val="21"/>
          <w:vertAlign w:val="superscript"/>
        </w:rPr>
        <w:t>-</w:t>
      </w:r>
      <w:r>
        <w:rPr>
          <w:sz w:val="21"/>
        </w:rPr>
        <w:t>通道外流，产生强烈痛觉。针对该过程（如图）的分析，错误的是（　　）</w:t>
      </w:r>
    </w:p>
    <w:p w14:paraId="61F86AF9">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905760" cy="1258570"/>
            <wp:effectExtent l="0" t="0" r="2540" b="11430"/>
            <wp:docPr id="100009" name="图片 100009" descr="@@@f4a454d1-7435-48b6-a9a4-939a8c8fa8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f4a454d1-7435-48b6-a9a4-939a8c8fa8a6"/>
                    <pic:cNvPicPr>
                      <a:picLocks noChangeAspect="1"/>
                    </pic:cNvPicPr>
                  </pic:nvPicPr>
                  <pic:blipFill>
                    <a:blip r:embed="rId14"/>
                    <a:stretch>
                      <a:fillRect/>
                    </a:stretch>
                  </pic:blipFill>
                  <pic:spPr>
                    <a:xfrm>
                      <a:off x="0" y="0"/>
                      <a:ext cx="2905760" cy="1258570"/>
                    </a:xfrm>
                    <a:prstGeom prst="rect">
                      <a:avLst/>
                    </a:prstGeom>
                  </pic:spPr>
                </pic:pic>
              </a:graphicData>
            </a:graphic>
          </wp:inline>
        </w:drawing>
      </w:r>
    </w:p>
    <w:p w14:paraId="1794DFDD">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A．触觉神经元兴奋时，在抑制性神经元上可记录到动作电位</w:t>
      </w:r>
    </w:p>
    <w:p w14:paraId="3710BDDC">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B．正常和患带状疱疹时，Cl</w:t>
      </w:r>
      <w:r>
        <w:rPr>
          <w:sz w:val="21"/>
          <w:vertAlign w:val="superscript"/>
        </w:rPr>
        <w:t>-</w:t>
      </w:r>
      <w:r>
        <w:rPr>
          <w:sz w:val="21"/>
        </w:rPr>
        <w:t>经Cl</w:t>
      </w:r>
      <w:r>
        <w:rPr>
          <w:sz w:val="21"/>
          <w:vertAlign w:val="superscript"/>
        </w:rPr>
        <w:t>-</w:t>
      </w:r>
      <w:r>
        <w:rPr>
          <w:sz w:val="21"/>
        </w:rPr>
        <w:t>通道的运输方式均为协助扩散</w:t>
      </w:r>
    </w:p>
    <w:p w14:paraId="53D820C3">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sz w:val="21"/>
        </w:rPr>
      </w:pPr>
      <w:r>
        <w:rPr>
          <w:sz w:val="21"/>
        </w:rPr>
        <w:t>C．GABA作用的效果可以是抑制性的，也可以是兴奋性的</w:t>
      </w:r>
    </w:p>
    <w:p w14:paraId="02088AFB">
      <w:pPr>
        <w:keepNext w:val="0"/>
        <w:keepLines w:val="0"/>
        <w:pageBreakBefore w:val="0"/>
        <w:widowControl w:val="0"/>
        <w:shd w:val="clear" w:color="auto" w:fill="auto"/>
        <w:kinsoku/>
        <w:wordWrap/>
        <w:overflowPunct/>
        <w:topLinePunct w:val="0"/>
        <w:autoSpaceDE/>
        <w:autoSpaceDN/>
        <w:bidi w:val="0"/>
        <w:adjustRightInd/>
        <w:snapToGrid/>
        <w:spacing w:line="240" w:lineRule="auto"/>
        <w:ind w:left="380"/>
        <w:jc w:val="left"/>
        <w:textAlignment w:val="center"/>
        <w:rPr>
          <w:rFonts w:ascii="黑体" w:hAnsi="黑体" w:eastAsia="黑体" w:cs="黑体"/>
          <w:b/>
          <w:i w:val="0"/>
          <w:color w:val="000000"/>
          <w:sz w:val="30"/>
        </w:rPr>
      </w:pPr>
      <w:r>
        <w:rPr>
          <w:sz w:val="21"/>
        </w:rPr>
        <w:t>D．患带状疱疹后Cl</w:t>
      </w:r>
      <w:r>
        <w:rPr>
          <w:sz w:val="21"/>
          <w:vertAlign w:val="superscript"/>
        </w:rPr>
        <w:t>-</w:t>
      </w:r>
      <w:r>
        <w:rPr>
          <w:sz w:val="21"/>
        </w:rPr>
        <w:t>转运蛋白增多，导致轻触产生痛觉</w:t>
      </w:r>
    </w:p>
    <w:p w14:paraId="0AF40670">
      <w:pPr>
        <w:spacing w:line="360" w:lineRule="auto"/>
        <w:jc w:val="center"/>
        <w:textAlignment w:val="center"/>
        <w:rPr>
          <w:color w:val="000000"/>
        </w:rPr>
      </w:pPr>
      <w:r>
        <w:rPr>
          <w:rFonts w:ascii="宋体" w:hAnsi="宋体" w:eastAsia="宋体" w:cs="宋体"/>
          <w:b/>
          <w:color w:val="000000"/>
          <w:sz w:val="24"/>
        </w:rPr>
        <w:t>第二部分</w:t>
      </w:r>
    </w:p>
    <w:p w14:paraId="63251F36">
      <w:pPr>
        <w:keepNext w:val="0"/>
        <w:keepLines w:val="0"/>
        <w:pageBreakBefore w:val="0"/>
        <w:widowControl w:val="0"/>
        <w:kinsoku/>
        <w:wordWrap/>
        <w:overflowPunct/>
        <w:topLinePunct w:val="0"/>
        <w:autoSpaceDE/>
        <w:autoSpaceDN/>
        <w:bidi w:val="0"/>
        <w:adjustRightInd/>
        <w:snapToGrid/>
        <w:spacing w:line="240" w:lineRule="auto"/>
        <w:jc w:val="left"/>
        <w:textAlignment w:val="center"/>
        <w:rPr>
          <w:rFonts w:ascii="宋体" w:hAnsi="宋体" w:eastAsia="宋体" w:cs="宋体"/>
          <w:b/>
          <w:i w:val="0"/>
          <w:color w:val="000000"/>
          <w:sz w:val="21"/>
        </w:rPr>
      </w:pPr>
      <w:r>
        <w:rPr>
          <w:rFonts w:ascii="宋体" w:hAnsi="宋体" w:eastAsia="宋体" w:cs="宋体"/>
          <w:b/>
          <w:color w:val="000000"/>
          <w:sz w:val="24"/>
        </w:rPr>
        <w:t>本部分共</w:t>
      </w:r>
      <w:r>
        <w:rPr>
          <w:rFonts w:hint="eastAsia" w:cs="Times New Roman"/>
          <w:b/>
          <w:color w:val="000000"/>
          <w:sz w:val="24"/>
          <w:lang w:val="en-US" w:eastAsia="zh-CN"/>
        </w:rPr>
        <w:t>5</w:t>
      </w:r>
      <w:r>
        <w:rPr>
          <w:rFonts w:ascii="宋体" w:hAnsi="宋体" w:eastAsia="宋体" w:cs="宋体"/>
          <w:b/>
          <w:color w:val="000000"/>
          <w:sz w:val="24"/>
        </w:rPr>
        <w:t>题，共</w:t>
      </w:r>
      <w:r>
        <w:rPr>
          <w:rFonts w:hint="eastAsia" w:cs="Times New Roman"/>
          <w:b/>
          <w:color w:val="000000"/>
          <w:sz w:val="24"/>
          <w:lang w:val="en-US" w:eastAsia="zh-CN"/>
        </w:rPr>
        <w:t>6</w:t>
      </w:r>
      <w:r>
        <w:rPr>
          <w:rFonts w:ascii="Times New Roman" w:hAnsi="Times New Roman" w:eastAsia="Times New Roman" w:cs="Times New Roman"/>
          <w:b/>
          <w:color w:val="000000"/>
          <w:sz w:val="24"/>
        </w:rPr>
        <w:t>0</w:t>
      </w:r>
      <w:r>
        <w:rPr>
          <w:rFonts w:ascii="宋体" w:hAnsi="宋体" w:eastAsia="宋体" w:cs="宋体"/>
          <w:b/>
          <w:color w:val="000000"/>
          <w:sz w:val="24"/>
        </w:rPr>
        <w:t>分。</w:t>
      </w:r>
    </w:p>
    <w:p w14:paraId="253CE854">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17．某些肿瘤细胞表面的PD-L1与细胞毒性T细胞（CTL）表面的PD-1结合能抑制CTL的免疫活性，导致肿瘤免疫逃逸。免疫检查点疗法使用单克隆抗体阻断PD-Ll和PD-1的结合，可恢复CTL的活性，用于肿瘤治疗。为进一步提高疗效，研究者以黑色素瘤模型小鼠为材料，开展该疗法与化疗的联合治疗研究。部分结果见图。</w:t>
      </w:r>
    </w:p>
    <w:p w14:paraId="46EFC235">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954655" cy="3106420"/>
            <wp:effectExtent l="0" t="0" r="4445" b="5080"/>
            <wp:docPr id="100011" name="图片 100011" descr="@@@72f66824-027a-4027-86b1-8e8ee0cc82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72f66824-027a-4027-86b1-8e8ee0cc82bc"/>
                    <pic:cNvPicPr>
                      <a:picLocks noChangeAspect="1"/>
                    </pic:cNvPicPr>
                  </pic:nvPicPr>
                  <pic:blipFill>
                    <a:blip r:embed="rId15"/>
                    <a:stretch>
                      <a:fillRect/>
                    </a:stretch>
                  </pic:blipFill>
                  <pic:spPr>
                    <a:xfrm>
                      <a:off x="0" y="0"/>
                      <a:ext cx="2954655" cy="3106420"/>
                    </a:xfrm>
                    <a:prstGeom prst="rect">
                      <a:avLst/>
                    </a:prstGeom>
                  </pic:spPr>
                </pic:pic>
              </a:graphicData>
            </a:graphic>
          </wp:inline>
        </w:drawing>
      </w:r>
      <w:r>
        <w:rPr>
          <w:rFonts w:ascii="Times New Roman" w:hAnsi="Times New Roman" w:eastAsia="Times New Roman" w:cs="Times New Roman"/>
          <w:kern w:val="0"/>
          <w:sz w:val="24"/>
          <w:szCs w:val="24"/>
        </w:rPr>
        <w:t>  </w:t>
      </w:r>
    </w:p>
    <w:p w14:paraId="02F906F4">
      <w:pPr>
        <w:shd w:val="clear" w:color="auto" w:fill="auto"/>
        <w:spacing w:line="360" w:lineRule="auto"/>
        <w:jc w:val="left"/>
        <w:textAlignment w:val="center"/>
        <w:rPr>
          <w:sz w:val="21"/>
        </w:rPr>
      </w:pPr>
      <w:r>
        <w:rPr>
          <w:sz w:val="21"/>
        </w:rPr>
        <w:t>回答下列问题：</w:t>
      </w:r>
    </w:p>
    <w:p w14:paraId="492627C8">
      <w:pPr>
        <w:shd w:val="clear" w:color="auto" w:fill="auto"/>
        <w:spacing w:line="360" w:lineRule="auto"/>
        <w:jc w:val="left"/>
        <w:textAlignment w:val="center"/>
        <w:rPr>
          <w:sz w:val="21"/>
        </w:rPr>
      </w:pPr>
      <w:r>
        <w:rPr>
          <w:sz w:val="21"/>
        </w:rPr>
        <w:t>(1)据图分析，</w:t>
      </w:r>
      <w:r>
        <w:rPr>
          <w:rFonts w:ascii="Times New Roman" w:hAnsi="Times New Roman" w:eastAsia="Times New Roman" w:cs="Times New Roman"/>
          <w:b w:val="0"/>
          <w:sz w:val="21"/>
        </w:rPr>
        <w:t>________</w:t>
      </w:r>
      <w:r>
        <w:rPr>
          <w:sz w:val="21"/>
        </w:rPr>
        <w:t>疗法的治疗效果最佳，推测其原因是</w:t>
      </w:r>
      <w:r>
        <w:rPr>
          <w:rFonts w:ascii="Times New Roman" w:hAnsi="Times New Roman" w:eastAsia="Times New Roman" w:cs="Times New Roman"/>
          <w:b w:val="0"/>
          <w:sz w:val="21"/>
        </w:rPr>
        <w:t>_______</w:t>
      </w:r>
      <w:r>
        <w:rPr>
          <w:sz w:val="21"/>
        </w:rPr>
        <w:t>。</w:t>
      </w:r>
    </w:p>
    <w:p w14:paraId="223551B9">
      <w:pPr>
        <w:shd w:val="clear" w:color="auto" w:fill="auto"/>
        <w:spacing w:line="360" w:lineRule="auto"/>
        <w:jc w:val="left"/>
        <w:textAlignment w:val="center"/>
        <w:rPr>
          <w:sz w:val="21"/>
        </w:rPr>
      </w:pPr>
      <w:r>
        <w:rPr>
          <w:sz w:val="21"/>
        </w:rPr>
        <w:t>(2)黑色素瘤细胞能分泌吸引某类细胞靠近的细胞因子CXCL1，为使CTL响应此信号，可在CTL中导入</w:t>
      </w:r>
      <w:r>
        <w:rPr>
          <w:rFonts w:ascii="Times New Roman" w:hAnsi="Times New Roman" w:eastAsia="Times New Roman" w:cs="Times New Roman"/>
          <w:b w:val="0"/>
          <w:sz w:val="21"/>
        </w:rPr>
        <w:t>___________________</w:t>
      </w:r>
      <w:r>
        <w:rPr>
          <w:sz w:val="21"/>
        </w:rPr>
        <w:t>基因后再将其回输小鼠体内，从而进一步提高治疗效果。该基因的表达产物应定位于CTL的</w:t>
      </w:r>
      <w:r>
        <w:rPr>
          <w:rFonts w:ascii="Times New Roman" w:hAnsi="Times New Roman" w:eastAsia="Times New Roman" w:cs="Times New Roman"/>
          <w:b w:val="0"/>
          <w:sz w:val="21"/>
        </w:rPr>
        <w:t>________</w:t>
      </w:r>
      <w:r>
        <w:rPr>
          <w:sz w:val="21"/>
        </w:rPr>
        <w:t>（答位置）且基因导入后不影响CTL</w:t>
      </w:r>
      <w:r>
        <w:rPr>
          <w:rFonts w:ascii="Times New Roman" w:hAnsi="Times New Roman" w:eastAsia="Times New Roman" w:cs="Times New Roman"/>
          <w:b w:val="0"/>
          <w:sz w:val="21"/>
        </w:rPr>
        <w:t>___________</w:t>
      </w:r>
      <w:r>
        <w:rPr>
          <w:sz w:val="21"/>
        </w:rPr>
        <w:t>的能力。</w:t>
      </w:r>
    </w:p>
    <w:p w14:paraId="5EFA5995">
      <w:pPr>
        <w:shd w:val="clear" w:color="auto" w:fill="auto"/>
        <w:spacing w:line="360" w:lineRule="auto"/>
        <w:jc w:val="left"/>
        <w:textAlignment w:val="center"/>
        <w:rPr>
          <w:sz w:val="21"/>
        </w:rPr>
      </w:pPr>
      <w:r>
        <w:rPr>
          <w:sz w:val="21"/>
        </w:rPr>
        <w:t>(3)某兴趣小组基于现有抗体—药物偶联物的思路提出了两种药物设计方案。方案一：将化疗药物与PD-L1 单克隆抗体结合在一起。方案二：将化疗药物与PD-1单克隆抗体结合在一起。你认为方案</w:t>
      </w:r>
      <w:r>
        <w:rPr>
          <w:rFonts w:ascii="Times New Roman" w:hAnsi="Times New Roman" w:eastAsia="Times New Roman" w:cs="Times New Roman"/>
          <w:b w:val="0"/>
          <w:sz w:val="21"/>
        </w:rPr>
        <w:t>_______</w:t>
      </w:r>
      <w:r>
        <w:rPr>
          <w:sz w:val="21"/>
        </w:rPr>
        <w:t>（填“一”或“二”）可行，理由是</w:t>
      </w:r>
      <w:r>
        <w:rPr>
          <w:rFonts w:ascii="Times New Roman" w:hAnsi="Times New Roman" w:eastAsia="Times New Roman" w:cs="Times New Roman"/>
          <w:b w:val="0"/>
          <w:sz w:val="21"/>
        </w:rPr>
        <w:t>__________</w:t>
      </w:r>
      <w:r>
        <w:rPr>
          <w:sz w:val="21"/>
        </w:rPr>
        <w:t>。</w:t>
      </w:r>
    </w:p>
    <w:p w14:paraId="3B587549">
      <w:pPr>
        <w:shd w:val="clear" w:color="auto" w:fill="auto"/>
        <w:spacing w:line="360" w:lineRule="auto"/>
        <w:jc w:val="left"/>
        <w:textAlignment w:val="center"/>
        <w:rPr>
          <w:sz w:val="21"/>
        </w:rPr>
      </w:pPr>
      <w:r>
        <w:rPr>
          <w:sz w:val="21"/>
        </w:rPr>
        <w:t>18．遗传性牙龈纤维瘤病（HGF）是一种罕见的口腔遗传病，严重影响咀嚼、语音、美观及心理健康。2022年，我国科学家对某一典型的HGF家系（如图）进行了研究，发现ZNF862基因突变导致HGF发生。</w:t>
      </w:r>
    </w:p>
    <w:p w14:paraId="66932B6F">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656455" cy="1709420"/>
            <wp:effectExtent l="0" t="0" r="4445" b="5080"/>
            <wp:docPr id="100013" name="图片 100013" descr="@@@41cadcf21ccd4061a1914460d6aa4d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41cadcf21ccd4061a1914460d6aa4d7c"/>
                    <pic:cNvPicPr>
                      <a:picLocks noChangeAspect="1"/>
                    </pic:cNvPicPr>
                  </pic:nvPicPr>
                  <pic:blipFill>
                    <a:blip r:embed="rId16"/>
                    <a:stretch>
                      <a:fillRect/>
                    </a:stretch>
                  </pic:blipFill>
                  <pic:spPr>
                    <a:xfrm>
                      <a:off x="0" y="0"/>
                      <a:ext cx="4656455" cy="1709420"/>
                    </a:xfrm>
                    <a:prstGeom prst="rect">
                      <a:avLst/>
                    </a:prstGeom>
                  </pic:spPr>
                </pic:pic>
              </a:graphicData>
            </a:graphic>
          </wp:inline>
        </w:drawing>
      </w:r>
    </w:p>
    <w:p w14:paraId="34F7D728">
      <w:pPr>
        <w:shd w:val="clear" w:color="auto" w:fill="auto"/>
        <w:spacing w:line="360" w:lineRule="auto"/>
        <w:jc w:val="left"/>
        <w:textAlignment w:val="center"/>
        <w:rPr>
          <w:sz w:val="21"/>
        </w:rPr>
      </w:pPr>
      <w:r>
        <w:rPr>
          <w:sz w:val="21"/>
        </w:rPr>
        <w:t>回答下列问题：</w:t>
      </w:r>
    </w:p>
    <w:p w14:paraId="4D3BBC35">
      <w:pPr>
        <w:shd w:val="clear" w:color="auto" w:fill="auto"/>
        <w:spacing w:line="360" w:lineRule="auto"/>
        <w:jc w:val="left"/>
        <w:textAlignment w:val="center"/>
        <w:rPr>
          <w:sz w:val="21"/>
        </w:rPr>
      </w:pPr>
      <w:r>
        <w:rPr>
          <w:sz w:val="21"/>
        </w:rPr>
        <w:t>(1)据图分析，HGF最可能的遗传方式是</w:t>
      </w:r>
      <w:r>
        <w:rPr>
          <w:rFonts w:ascii="Times New Roman" w:hAnsi="Times New Roman" w:eastAsia="Times New Roman" w:cs="Times New Roman"/>
          <w:b w:val="0"/>
          <w:sz w:val="21"/>
        </w:rPr>
        <w:t>_________</w:t>
      </w:r>
      <w:r>
        <w:rPr>
          <w:sz w:val="21"/>
        </w:rPr>
        <w:t>。假设该致病基因的频率为p，根据最可能的遗传方式，Ⅳ</w:t>
      </w:r>
      <w:r>
        <w:rPr>
          <w:sz w:val="21"/>
          <w:vertAlign w:val="subscript"/>
        </w:rPr>
        <w:t>2</w:t>
      </w:r>
      <w:r>
        <w:rPr>
          <w:sz w:val="21"/>
        </w:rPr>
        <w:t>生育一个患病子代的概率为</w:t>
      </w:r>
      <w:r>
        <w:rPr>
          <w:rFonts w:ascii="Times New Roman" w:hAnsi="Times New Roman" w:eastAsia="Times New Roman" w:cs="Times New Roman"/>
          <w:b w:val="0"/>
          <w:sz w:val="21"/>
        </w:rPr>
        <w:t>_______</w:t>
      </w:r>
      <w:r>
        <w:rPr>
          <w:sz w:val="21"/>
        </w:rPr>
        <w:t>（列出算式即可）。</w:t>
      </w:r>
    </w:p>
    <w:p w14:paraId="72C7B35C">
      <w:pPr>
        <w:shd w:val="clear" w:color="auto" w:fill="auto"/>
        <w:spacing w:line="360" w:lineRule="auto"/>
        <w:jc w:val="left"/>
        <w:textAlignment w:val="center"/>
        <w:rPr>
          <w:sz w:val="21"/>
        </w:rPr>
      </w:pPr>
      <w:r>
        <w:rPr>
          <w:sz w:val="21"/>
        </w:rPr>
        <w:t>(2)为探究ZNF862 基因的功能，以正常人牙龈成纤维细胞为材料设计实验，简要写出设计思路：</w:t>
      </w:r>
      <w:r>
        <w:rPr>
          <w:rFonts w:ascii="Times New Roman" w:hAnsi="Times New Roman" w:eastAsia="Times New Roman" w:cs="Times New Roman"/>
          <w:b w:val="0"/>
          <w:sz w:val="21"/>
        </w:rPr>
        <w:t>_______</w:t>
      </w:r>
      <w:r>
        <w:rPr>
          <w:sz w:val="21"/>
        </w:rPr>
        <w:t>。为从个体水平验证ZNF862基因突变导致HGF，可制备携带该突变的转基因小鼠，然后比较</w:t>
      </w:r>
      <w:r>
        <w:rPr>
          <w:rFonts w:ascii="Times New Roman" w:hAnsi="Times New Roman" w:eastAsia="Times New Roman" w:cs="Times New Roman"/>
          <w:b w:val="0"/>
          <w:sz w:val="21"/>
        </w:rPr>
        <w:t>______</w:t>
      </w:r>
      <w:r>
        <w:rPr>
          <w:sz w:val="21"/>
        </w:rPr>
        <w:t>的差异。</w:t>
      </w:r>
    </w:p>
    <w:p w14:paraId="19E90C6E">
      <w:pPr>
        <w:shd w:val="clear" w:color="auto" w:fill="auto"/>
        <w:spacing w:line="360" w:lineRule="auto"/>
        <w:jc w:val="left"/>
        <w:textAlignment w:val="center"/>
        <w:rPr>
          <w:sz w:val="21"/>
        </w:rPr>
      </w:pPr>
      <w:r>
        <w:rPr>
          <w:sz w:val="21"/>
        </w:rPr>
        <w:t>(3)针对HGF这类遗传病，通过体细胞基因组编辑等技术可能达到治疗的目的。是否也可以通过对人类生殖细胞或胚胎进行基因组编辑来防治遗传病？作出判断并说明理由</w:t>
      </w:r>
      <w:r>
        <w:rPr>
          <w:rFonts w:ascii="Times New Roman" w:hAnsi="Times New Roman" w:eastAsia="Times New Roman" w:cs="Times New Roman"/>
          <w:b w:val="0"/>
          <w:sz w:val="21"/>
        </w:rPr>
        <w:t>________</w:t>
      </w:r>
      <w:r>
        <w:rPr>
          <w:sz w:val="21"/>
        </w:rPr>
        <w:t>。</w:t>
      </w:r>
    </w:p>
    <w:p w14:paraId="5BBDFC8E">
      <w:pPr>
        <w:keepNext w:val="0"/>
        <w:keepLines w:val="0"/>
        <w:pageBreakBefore w:val="0"/>
        <w:widowControl w:val="0"/>
        <w:shd w:val="clear" w:color="auto" w:fill="auto"/>
        <w:kinsoku/>
        <w:wordWrap/>
        <w:overflowPunct/>
        <w:topLinePunct w:val="0"/>
        <w:autoSpaceDE/>
        <w:autoSpaceDN/>
        <w:bidi w:val="0"/>
        <w:adjustRightInd/>
        <w:snapToGrid/>
        <w:spacing w:line="360" w:lineRule="auto"/>
        <w:jc w:val="left"/>
        <w:textAlignment w:val="center"/>
        <w:rPr>
          <w:sz w:val="21"/>
        </w:rPr>
      </w:pPr>
      <w:r>
        <w:rPr>
          <w:sz w:val="21"/>
        </w:rPr>
        <w:t>19．乙烯参与水稻幼苗根生长发育过程的调控。为研究其机理，我国科学家用乙烯处理萌发的水稻种子3天，观察到野生型（WT）幼苗根的伸长受到抑制，同时发现突变体m2，其根伸长不受乙烯影响；推测植物激素X参与乙烯抑制水稻幼苗根伸长的调控，设计并开展相关实验，其中K试剂抑制激素X的合成，A试剂抑制激素X受体的功能，部分结果见图。</w:t>
      </w:r>
    </w:p>
    <w:p w14:paraId="204D80CB">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145280" cy="3446145"/>
            <wp:effectExtent l="0" t="0" r="7620" b="8255"/>
            <wp:docPr id="100015" name="图片 100015" descr="@@@964b4827-5d9c-4a37-86bc-8c9decfbb0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964b4827-5d9c-4a37-86bc-8c9decfbb0c9"/>
                    <pic:cNvPicPr>
                      <a:picLocks noChangeAspect="1"/>
                    </pic:cNvPicPr>
                  </pic:nvPicPr>
                  <pic:blipFill>
                    <a:blip r:embed="rId17"/>
                    <a:stretch>
                      <a:fillRect/>
                    </a:stretch>
                  </pic:blipFill>
                  <pic:spPr>
                    <a:xfrm>
                      <a:off x="0" y="0"/>
                      <a:ext cx="4145280" cy="3446145"/>
                    </a:xfrm>
                    <a:prstGeom prst="rect">
                      <a:avLst/>
                    </a:prstGeom>
                  </pic:spPr>
                </pic:pic>
              </a:graphicData>
            </a:graphic>
          </wp:inline>
        </w:drawing>
      </w:r>
    </w:p>
    <w:p w14:paraId="1ABDDED4">
      <w:pPr>
        <w:shd w:val="clear" w:color="auto" w:fill="auto"/>
        <w:spacing w:line="360" w:lineRule="auto"/>
        <w:jc w:val="left"/>
        <w:textAlignment w:val="center"/>
        <w:rPr>
          <w:sz w:val="21"/>
        </w:rPr>
      </w:pPr>
      <w:r>
        <w:rPr>
          <w:sz w:val="21"/>
        </w:rPr>
        <w:t>回答下列问题：</w:t>
      </w:r>
    </w:p>
    <w:p w14:paraId="0FF35097">
      <w:pPr>
        <w:shd w:val="clear" w:color="auto" w:fill="auto"/>
        <w:spacing w:line="360" w:lineRule="auto"/>
        <w:jc w:val="left"/>
        <w:textAlignment w:val="center"/>
        <w:rPr>
          <w:sz w:val="21"/>
        </w:rPr>
      </w:pPr>
      <w:r>
        <w:rPr>
          <w:sz w:val="21"/>
        </w:rPr>
        <w:t>(1)为验证该推测进行了实验一，结果表明，乙烯抑制WT根伸长需要植物激素X，推测X可能是</w:t>
      </w:r>
      <w:r>
        <w:rPr>
          <w:rFonts w:ascii="Times New Roman" w:hAnsi="Times New Roman" w:eastAsia="Times New Roman" w:cs="Times New Roman"/>
          <w:b w:val="0"/>
          <w:sz w:val="21"/>
        </w:rPr>
        <w:t>____</w:t>
      </w:r>
      <w:r>
        <w:rPr>
          <w:sz w:val="21"/>
        </w:rPr>
        <w:t>。</w:t>
      </w:r>
    </w:p>
    <w:p w14:paraId="5BDC4A69">
      <w:pPr>
        <w:shd w:val="clear" w:color="auto" w:fill="auto"/>
        <w:spacing w:line="360" w:lineRule="auto"/>
        <w:jc w:val="left"/>
        <w:textAlignment w:val="center"/>
        <w:rPr>
          <w:sz w:val="21"/>
        </w:rPr>
      </w:pPr>
      <w:r>
        <w:rPr>
          <w:sz w:val="21"/>
        </w:rPr>
        <w:t>(2)为进一步探究X如何参与乙烯对根伸长的调控，设计并开展了实验二、三和四。</w:t>
      </w:r>
    </w:p>
    <w:p w14:paraId="5E88D5C8">
      <w:pPr>
        <w:shd w:val="clear" w:color="auto" w:fill="auto"/>
        <w:spacing w:line="360" w:lineRule="auto"/>
        <w:jc w:val="left"/>
        <w:textAlignment w:val="center"/>
        <w:rPr>
          <w:sz w:val="21"/>
        </w:rPr>
      </w:pPr>
      <w:r>
        <w:rPr>
          <w:sz w:val="21"/>
        </w:rPr>
        <w:t>①实验二的目的是检测m2的突变基因是否与</w:t>
      </w:r>
      <w:r>
        <w:rPr>
          <w:rFonts w:ascii="Times New Roman" w:hAnsi="Times New Roman" w:eastAsia="Times New Roman" w:cs="Times New Roman"/>
          <w:b w:val="0"/>
          <w:sz w:val="21"/>
        </w:rPr>
        <w:t>______</w:t>
      </w:r>
      <w:r>
        <w:rPr>
          <w:sz w:val="21"/>
        </w:rPr>
        <w:t>有关。</w:t>
      </w:r>
    </w:p>
    <w:p w14:paraId="533DB51F">
      <w:pPr>
        <w:shd w:val="clear" w:color="auto" w:fill="auto"/>
        <w:spacing w:line="360" w:lineRule="auto"/>
        <w:jc w:val="left"/>
        <w:textAlignment w:val="center"/>
        <w:rPr>
          <w:sz w:val="21"/>
        </w:rPr>
      </w:pPr>
      <w:r>
        <w:rPr>
          <w:sz w:val="21"/>
        </w:rPr>
        <w:t>②实验三中使用了可自由扩散进入细胞的 NAA，目的是利用NAA的生理效应，初步判断乙烯抑制根伸长是否与</w:t>
      </w:r>
      <w:r>
        <w:rPr>
          <w:rFonts w:ascii="Times New Roman" w:hAnsi="Times New Roman" w:eastAsia="Times New Roman" w:cs="Times New Roman"/>
          <w:b w:val="0"/>
          <w:sz w:val="21"/>
        </w:rPr>
        <w:t>__________</w:t>
      </w:r>
      <w:r>
        <w:rPr>
          <w:sz w:val="21"/>
        </w:rPr>
        <w:t>有关。若要进一步验证该结论并检验 m2 的突变基因是否与此有关，可检测</w:t>
      </w:r>
      <w:r>
        <w:rPr>
          <w:rFonts w:ascii="Times New Roman" w:hAnsi="Times New Roman" w:eastAsia="Times New Roman" w:cs="Times New Roman"/>
          <w:b w:val="0"/>
          <w:sz w:val="21"/>
        </w:rPr>
        <w:t>_____</w:t>
      </w:r>
      <w:r>
        <w:rPr>
          <w:sz w:val="21"/>
        </w:rPr>
        <w:t>的表达情况。</w:t>
      </w:r>
    </w:p>
    <w:p w14:paraId="621880D7">
      <w:pPr>
        <w:shd w:val="clear" w:color="auto" w:fill="auto"/>
        <w:spacing w:line="360" w:lineRule="auto"/>
        <w:jc w:val="left"/>
        <w:textAlignment w:val="center"/>
        <w:rPr>
          <w:sz w:val="21"/>
        </w:rPr>
      </w:pPr>
      <w:r>
        <w:rPr>
          <w:sz w:val="21"/>
        </w:rPr>
        <w:t>③实验四中有3组空气处理组，其中设置★所示组的目的是</w:t>
      </w:r>
      <w:r>
        <w:rPr>
          <w:rFonts w:ascii="Times New Roman" w:hAnsi="Times New Roman" w:eastAsia="Times New Roman" w:cs="Times New Roman"/>
          <w:b w:val="0"/>
          <w:sz w:val="21"/>
        </w:rPr>
        <w:t>_______</w:t>
      </w:r>
      <w:r>
        <w:rPr>
          <w:sz w:val="21"/>
        </w:rPr>
        <w:t>。</w:t>
      </w:r>
    </w:p>
    <w:p w14:paraId="0435605C">
      <w:pPr>
        <w:shd w:val="clear" w:color="auto" w:fill="auto"/>
        <w:spacing w:line="360" w:lineRule="auto"/>
        <w:jc w:val="left"/>
        <w:textAlignment w:val="center"/>
        <w:rPr>
          <w:sz w:val="21"/>
        </w:rPr>
      </w:pPr>
      <w:r>
        <w:rPr>
          <w:sz w:val="21"/>
        </w:rPr>
        <w:t>(3)分析上述结果，推测乙烯对水稻幼苗根伸长的抑制可能是通过影响</w:t>
      </w:r>
      <w:r>
        <w:rPr>
          <w:rFonts w:ascii="Times New Roman" w:hAnsi="Times New Roman" w:eastAsia="Times New Roman" w:cs="Times New Roman"/>
          <w:b w:val="0"/>
          <w:sz w:val="21"/>
        </w:rPr>
        <w:t>________</w:t>
      </w:r>
      <w:r>
        <w:rPr>
          <w:sz w:val="21"/>
        </w:rPr>
        <w:t>实现的。</w:t>
      </w:r>
    </w:p>
    <w:p w14:paraId="15F7B0E3">
      <w:pPr>
        <w:keepNext w:val="0"/>
        <w:keepLines w:val="0"/>
        <w:pageBreakBefore w:val="0"/>
        <w:widowControl w:val="0"/>
        <w:shd w:val="clear" w:color="auto" w:fill="auto"/>
        <w:kinsoku/>
        <w:wordWrap/>
        <w:overflowPunct/>
        <w:topLinePunct w:val="0"/>
        <w:autoSpaceDE/>
        <w:autoSpaceDN/>
        <w:bidi w:val="0"/>
        <w:adjustRightInd/>
        <w:snapToGrid/>
        <w:spacing w:line="360" w:lineRule="auto"/>
        <w:jc w:val="left"/>
        <w:textAlignment w:val="center"/>
        <w:rPr>
          <w:sz w:val="21"/>
        </w:rPr>
      </w:pPr>
      <w:r>
        <w:rPr>
          <w:sz w:val="21"/>
        </w:rPr>
        <w:t>20．某湖泊曾处于重度富营养化状态，水面漂浮着大量浮游藻类。管理部门通过控源、清淤、换水以及引种沉水植物等手段，成功实现了水体生态恢复。引种的3种多年生草本沉水植物（①金鱼藻、②黑藻、③苦草，答题时植物名称可用对应序号表示）在不同光照强度下光合速率及水质净化能力见图。</w:t>
      </w:r>
    </w:p>
    <w:p w14:paraId="46F5F097">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364990" cy="2184400"/>
            <wp:effectExtent l="0" t="0" r="3810" b="0"/>
            <wp:docPr id="100017" name="图片 100017" descr="@@@071b0cce-311a-4d8a-9ef2-33217487b0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071b0cce-311a-4d8a-9ef2-33217487b00e"/>
                    <pic:cNvPicPr>
                      <a:picLocks noChangeAspect="1"/>
                    </pic:cNvPicPr>
                  </pic:nvPicPr>
                  <pic:blipFill>
                    <a:blip r:embed="rId18"/>
                    <a:stretch>
                      <a:fillRect/>
                    </a:stretch>
                  </pic:blipFill>
                  <pic:spPr>
                    <a:xfrm>
                      <a:off x="0" y="0"/>
                      <a:ext cx="4364990" cy="2184400"/>
                    </a:xfrm>
                    <a:prstGeom prst="rect">
                      <a:avLst/>
                    </a:prstGeom>
                  </pic:spPr>
                </pic:pic>
              </a:graphicData>
            </a:graphic>
          </wp:inline>
        </w:drawing>
      </w:r>
    </w:p>
    <w:p w14:paraId="0E4B0CEC">
      <w:pPr>
        <w:shd w:val="clear" w:color="auto" w:fill="auto"/>
        <w:spacing w:line="360" w:lineRule="auto"/>
        <w:jc w:val="left"/>
        <w:textAlignment w:val="center"/>
        <w:rPr>
          <w:sz w:val="21"/>
        </w:rPr>
      </w:pPr>
      <w:r>
        <w:rPr>
          <w:sz w:val="21"/>
        </w:rPr>
        <w:t>回答下列问题：</w:t>
      </w:r>
    </w:p>
    <w:p w14:paraId="5C11133E">
      <w:pPr>
        <w:shd w:val="clear" w:color="auto" w:fill="auto"/>
        <w:spacing w:line="360" w:lineRule="auto"/>
        <w:jc w:val="left"/>
        <w:textAlignment w:val="center"/>
        <w:rPr>
          <w:sz w:val="21"/>
        </w:rPr>
      </w:pPr>
      <w:r>
        <w:rPr>
          <w:sz w:val="21"/>
        </w:rPr>
        <w:t>(1)湖水富营养化时，浮游藻类大量繁殖，水体透明度低，湖底光照不足。原有沉水植物因光合作用合成的有机物少于</w:t>
      </w:r>
      <w:r>
        <w:rPr>
          <w:rFonts w:ascii="Times New Roman" w:hAnsi="Times New Roman" w:eastAsia="Times New Roman" w:cs="Times New Roman"/>
          <w:b w:val="0"/>
          <w:sz w:val="21"/>
        </w:rPr>
        <w:t>_______</w:t>
      </w:r>
      <w:r>
        <w:rPr>
          <w:sz w:val="21"/>
        </w:rPr>
        <w:t>的有机物，最终衰退和消亡。</w:t>
      </w:r>
    </w:p>
    <w:p w14:paraId="785FEF9C">
      <w:pPr>
        <w:shd w:val="clear" w:color="auto" w:fill="auto"/>
        <w:spacing w:line="360" w:lineRule="auto"/>
        <w:jc w:val="left"/>
        <w:textAlignment w:val="center"/>
        <w:rPr>
          <w:sz w:val="21"/>
        </w:rPr>
      </w:pPr>
      <w:r>
        <w:rPr>
          <w:sz w:val="21"/>
        </w:rPr>
        <w:t>(2)生态恢复后，该湖泊形成了以上述3种草本沉水植物为优势的群落垂直结构，从湖底到水面依次是</w:t>
      </w:r>
      <w:r>
        <w:rPr>
          <w:rFonts w:ascii="Times New Roman" w:hAnsi="Times New Roman" w:eastAsia="Times New Roman" w:cs="Times New Roman"/>
          <w:b w:val="0"/>
          <w:sz w:val="21"/>
        </w:rPr>
        <w:t>________</w:t>
      </w:r>
      <w:r>
        <w:rPr>
          <w:sz w:val="21"/>
        </w:rPr>
        <w:t>，其原因是</w:t>
      </w:r>
      <w:r>
        <w:rPr>
          <w:rFonts w:ascii="Times New Roman" w:hAnsi="Times New Roman" w:eastAsia="Times New Roman" w:cs="Times New Roman"/>
          <w:b w:val="0"/>
          <w:sz w:val="21"/>
        </w:rPr>
        <w:t>_______</w:t>
      </w:r>
      <w:r>
        <w:rPr>
          <w:sz w:val="21"/>
        </w:rPr>
        <w:t>。</w:t>
      </w:r>
    </w:p>
    <w:p w14:paraId="0F703465">
      <w:pPr>
        <w:shd w:val="clear" w:color="auto" w:fill="auto"/>
        <w:spacing w:line="360" w:lineRule="auto"/>
        <w:jc w:val="left"/>
        <w:textAlignment w:val="center"/>
        <w:rPr>
          <w:sz w:val="21"/>
        </w:rPr>
      </w:pPr>
      <w:r>
        <w:rPr>
          <w:sz w:val="21"/>
        </w:rPr>
        <w:t>(3)为了达到湖水净化的目的，选择引种上述3种草本沉水植物的理由是</w:t>
      </w:r>
      <w:r>
        <w:rPr>
          <w:rFonts w:ascii="Times New Roman" w:hAnsi="Times New Roman" w:eastAsia="Times New Roman" w:cs="Times New Roman"/>
          <w:b w:val="0"/>
          <w:sz w:val="21"/>
        </w:rPr>
        <w:t>_________</w:t>
      </w:r>
      <w:r>
        <w:rPr>
          <w:sz w:val="21"/>
        </w:rPr>
        <w:t>，三者配合能实现综合治理效果。</w:t>
      </w:r>
    </w:p>
    <w:p w14:paraId="76C8002A">
      <w:pPr>
        <w:shd w:val="clear" w:color="auto" w:fill="auto"/>
        <w:spacing w:line="360" w:lineRule="auto"/>
        <w:jc w:val="left"/>
        <w:textAlignment w:val="center"/>
        <w:rPr>
          <w:sz w:val="21"/>
        </w:rPr>
      </w:pPr>
      <w:r>
        <w:rPr>
          <w:sz w:val="21"/>
        </w:rPr>
        <w:t>(4)上述3种草本沉水植物中只有黑藻具有C</w:t>
      </w:r>
      <w:r>
        <w:rPr>
          <w:sz w:val="21"/>
          <w:vertAlign w:val="subscript"/>
        </w:rPr>
        <w:t>4</w:t>
      </w:r>
      <w:r>
        <w:rPr>
          <w:sz w:val="21"/>
        </w:rPr>
        <w:t>光合作用途径（浓缩CO</w:t>
      </w:r>
      <w:r>
        <w:rPr>
          <w:sz w:val="21"/>
          <w:vertAlign w:val="subscript"/>
        </w:rPr>
        <w:t>2</w:t>
      </w:r>
      <w:r>
        <w:rPr>
          <w:sz w:val="21"/>
        </w:rPr>
        <w:t>形成高浓度C</w:t>
      </w:r>
      <w:r>
        <w:rPr>
          <w:sz w:val="21"/>
          <w:vertAlign w:val="subscript"/>
        </w:rPr>
        <w:t>4</w:t>
      </w:r>
      <w:r>
        <w:rPr>
          <w:sz w:val="21"/>
        </w:rPr>
        <w:t>后，再分解成CO</w:t>
      </w:r>
      <w:r>
        <w:rPr>
          <w:sz w:val="21"/>
          <w:vertAlign w:val="subscript"/>
        </w:rPr>
        <w:t>2</w:t>
      </w:r>
      <w:r>
        <w:rPr>
          <w:sz w:val="21"/>
        </w:rPr>
        <w:t>传递给C</w:t>
      </w:r>
      <w:r>
        <w:rPr>
          <w:sz w:val="21"/>
          <w:vertAlign w:val="subscript"/>
        </w:rPr>
        <w:t>5</w:t>
      </w:r>
      <w:r>
        <w:rPr>
          <w:sz w:val="21"/>
        </w:rPr>
        <w:t>）使其在CO</w:t>
      </w:r>
      <w:r>
        <w:rPr>
          <w:sz w:val="21"/>
          <w:vertAlign w:val="subscript"/>
        </w:rPr>
        <w:t>2</w:t>
      </w:r>
      <w:r>
        <w:rPr>
          <w:sz w:val="21"/>
        </w:rPr>
        <w:t>受限的水体中仍可有效地进行光合作用，在水生植物群落中竞争力较强。根据图a设计一个简单的实验方案，验证黑藻的碳浓缩优势，完成下列表格。</w:t>
      </w:r>
    </w:p>
    <w:tbl>
      <w:tblPr>
        <w:tblStyle w:val="4"/>
        <w:tblW w:w="54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04"/>
        <w:gridCol w:w="4326"/>
      </w:tblGrid>
      <w:tr w14:paraId="7F2625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41" w:hRule="atLeast"/>
        </w:trPr>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A87926">
            <w:pPr>
              <w:shd w:val="clear" w:color="auto" w:fill="auto"/>
              <w:spacing w:line="360" w:lineRule="auto"/>
              <w:jc w:val="left"/>
              <w:textAlignment w:val="center"/>
              <w:rPr>
                <w:sz w:val="21"/>
              </w:rPr>
            </w:pPr>
            <w:r>
              <w:rPr>
                <w:sz w:val="21"/>
              </w:rPr>
              <w:t>实验设计方案</w:t>
            </w:r>
          </w:p>
        </w:tc>
      </w:tr>
      <w:tr w14:paraId="2B9D6B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911669">
            <w:pPr>
              <w:shd w:val="clear" w:color="auto" w:fill="auto"/>
              <w:spacing w:line="360" w:lineRule="auto"/>
              <w:jc w:val="left"/>
              <w:textAlignment w:val="center"/>
              <w:rPr>
                <w:sz w:val="21"/>
              </w:rPr>
            </w:pPr>
            <w:r>
              <w:rPr>
                <w:sz w:val="21"/>
              </w:rPr>
              <w:t>实验材料</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3E1505">
            <w:pPr>
              <w:shd w:val="clear" w:color="auto" w:fill="auto"/>
              <w:spacing w:line="360" w:lineRule="auto"/>
              <w:jc w:val="left"/>
              <w:textAlignment w:val="center"/>
              <w:rPr>
                <w:sz w:val="21"/>
              </w:rPr>
            </w:pPr>
            <w:r>
              <w:rPr>
                <w:sz w:val="21"/>
              </w:rPr>
              <w:t>对照组：</w:t>
            </w:r>
            <w:r>
              <w:rPr>
                <w:rFonts w:ascii="Times New Roman" w:hAnsi="Times New Roman" w:eastAsia="Times New Roman" w:cs="Times New Roman"/>
                <w:b w:val="0"/>
                <w:sz w:val="21"/>
              </w:rPr>
              <w:t>_______</w:t>
            </w:r>
            <w:r>
              <w:rPr>
                <w:rFonts w:ascii="Times New Roman" w:hAnsi="Times New Roman" w:eastAsia="Times New Roman" w:cs="Times New Roman"/>
                <w:kern w:val="0"/>
                <w:sz w:val="24"/>
                <w:szCs w:val="24"/>
              </w:rPr>
              <w:t>      </w:t>
            </w:r>
            <w:r>
              <w:rPr>
                <w:sz w:val="21"/>
              </w:rPr>
              <w:t>实验组：黑藻</w:t>
            </w:r>
          </w:p>
        </w:tc>
      </w:tr>
      <w:tr w14:paraId="6E602C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09EFE0">
            <w:pPr>
              <w:shd w:val="clear" w:color="auto" w:fill="auto"/>
              <w:spacing w:line="360" w:lineRule="auto"/>
              <w:jc w:val="left"/>
              <w:textAlignment w:val="center"/>
              <w:rPr>
                <w:sz w:val="21"/>
              </w:rPr>
            </w:pPr>
            <w:r>
              <w:rPr>
                <w:sz w:val="21"/>
              </w:rPr>
              <w:t>实验条件</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FC928C">
            <w:pPr>
              <w:shd w:val="clear" w:color="auto" w:fill="auto"/>
              <w:spacing w:line="360" w:lineRule="auto"/>
              <w:jc w:val="left"/>
              <w:textAlignment w:val="center"/>
              <w:rPr>
                <w:sz w:val="21"/>
              </w:rPr>
            </w:pPr>
            <w:r>
              <w:rPr>
                <w:sz w:val="21"/>
              </w:rPr>
              <w:t>控制光照强度为</w:t>
            </w:r>
            <w:r>
              <w:rPr>
                <w:rFonts w:ascii="Times New Roman" w:hAnsi="Times New Roman" w:eastAsia="Times New Roman" w:cs="Times New Roman"/>
                <w:b w:val="0"/>
                <w:sz w:val="21"/>
              </w:rPr>
              <w:t>_______</w:t>
            </w:r>
            <w:r>
              <w:rPr>
                <w:sz w:val="21"/>
              </w:rPr>
              <w:t>μmol·m</w:t>
            </w:r>
            <w:r>
              <w:rPr>
                <w:sz w:val="21"/>
                <w:vertAlign w:val="superscript"/>
              </w:rPr>
              <w:t>-2</w:t>
            </w:r>
            <w:r>
              <w:rPr>
                <w:sz w:val="21"/>
              </w:rPr>
              <w:t>·s</w:t>
            </w:r>
            <w:r>
              <w:rPr>
                <w:sz w:val="21"/>
                <w:vertAlign w:val="superscript"/>
              </w:rPr>
              <w:t>-1</w:t>
            </w:r>
          </w:p>
        </w:tc>
      </w:tr>
      <w:tr w14:paraId="5656AC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7552CEFB">
            <w:pPr>
              <w:shd w:val="clear" w:color="auto" w:fill="auto"/>
              <w:spacing w:line="360" w:lineRule="auto"/>
              <w:jc w:val="left"/>
              <w:textAlignment w:val="center"/>
              <w:rPr>
                <w:sz w:val="21"/>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D03162">
            <w:pPr>
              <w:shd w:val="clear" w:color="auto" w:fill="auto"/>
              <w:spacing w:line="360" w:lineRule="auto"/>
              <w:jc w:val="left"/>
              <w:textAlignment w:val="center"/>
              <w:rPr>
                <w:sz w:val="21"/>
              </w:rPr>
            </w:pPr>
            <w:r>
              <w:rPr>
                <w:sz w:val="21"/>
              </w:rPr>
              <w:t>营养及环境条件相同且适宜，培养时间相同</w:t>
            </w:r>
          </w:p>
        </w:tc>
      </w:tr>
      <w:tr w14:paraId="575B2C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AC29CF">
            <w:pPr>
              <w:shd w:val="clear" w:color="auto" w:fill="auto"/>
              <w:spacing w:line="360" w:lineRule="auto"/>
              <w:jc w:val="left"/>
              <w:textAlignment w:val="center"/>
              <w:rPr>
                <w:sz w:val="21"/>
              </w:rPr>
            </w:pPr>
            <w:r>
              <w:rPr>
                <w:sz w:val="21"/>
              </w:rPr>
              <w:t>控制条件</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CB36DE">
            <w:pPr>
              <w:shd w:val="clear" w:color="auto" w:fill="auto"/>
              <w:spacing w:line="360" w:lineRule="auto"/>
              <w:jc w:val="left"/>
              <w:textAlignment w:val="center"/>
              <w:rPr>
                <w:sz w:val="21"/>
              </w:rPr>
            </w:pPr>
            <w:r>
              <w:rPr>
                <w:rFonts w:ascii="Times New Roman" w:hAnsi="Times New Roman" w:eastAsia="Times New Roman" w:cs="Times New Roman"/>
                <w:b w:val="0"/>
                <w:sz w:val="21"/>
              </w:rPr>
              <w:t>__________</w:t>
            </w:r>
          </w:p>
        </w:tc>
      </w:tr>
      <w:tr w14:paraId="53451A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EBD77C">
            <w:pPr>
              <w:shd w:val="clear" w:color="auto" w:fill="auto"/>
              <w:spacing w:line="360" w:lineRule="auto"/>
              <w:jc w:val="left"/>
              <w:textAlignment w:val="center"/>
              <w:rPr>
                <w:sz w:val="21"/>
              </w:rPr>
            </w:pPr>
            <w:r>
              <w:rPr>
                <w:sz w:val="21"/>
              </w:rPr>
              <w:t>测量指标</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4FD9FD">
            <w:pPr>
              <w:shd w:val="clear" w:color="auto" w:fill="auto"/>
              <w:spacing w:line="360" w:lineRule="auto"/>
              <w:jc w:val="left"/>
              <w:textAlignment w:val="center"/>
              <w:rPr>
                <w:sz w:val="21"/>
              </w:rPr>
            </w:pPr>
            <w:r>
              <w:rPr>
                <w:rFonts w:ascii="Times New Roman" w:hAnsi="Times New Roman" w:eastAsia="Times New Roman" w:cs="Times New Roman"/>
                <w:b w:val="0"/>
                <w:sz w:val="21"/>
              </w:rPr>
              <w:t>__________</w:t>
            </w:r>
          </w:p>
        </w:tc>
      </w:tr>
    </w:tbl>
    <w:p w14:paraId="7CB82986">
      <w:pPr>
        <w:shd w:val="clear" w:color="auto" w:fill="auto"/>
        <w:spacing w:line="360" w:lineRule="auto"/>
        <w:jc w:val="left"/>
        <w:textAlignment w:val="center"/>
        <w:rPr>
          <w:sz w:val="21"/>
        </w:rPr>
      </w:pPr>
      <w:r>
        <w:rPr>
          <w:sz w:val="21"/>
        </w:rPr>
        <w:t>(5)目前在湖边浅水区种植的沉水植物因强光抑制造成生长不良，此外，大量沉水植物叶片凋落，需及时打捞，增加维护成本。针对这两个实际问题从生态学角度提出合理的解决措施</w:t>
      </w:r>
      <w:r>
        <w:rPr>
          <w:rFonts w:ascii="Times New Roman" w:hAnsi="Times New Roman" w:eastAsia="Times New Roman" w:cs="Times New Roman"/>
          <w:b w:val="0"/>
          <w:sz w:val="21"/>
        </w:rPr>
        <w:t>______</w:t>
      </w:r>
      <w:r>
        <w:rPr>
          <w:sz w:val="21"/>
        </w:rPr>
        <w:t>。</w:t>
      </w:r>
    </w:p>
    <w:p w14:paraId="5E315D8A">
      <w:pPr>
        <w:shd w:val="clear" w:color="auto" w:fill="auto"/>
        <w:spacing w:line="360" w:lineRule="auto"/>
        <w:jc w:val="left"/>
        <w:textAlignment w:val="center"/>
        <w:rPr>
          <w:sz w:val="21"/>
        </w:rPr>
      </w:pPr>
      <w:r>
        <w:rPr>
          <w:sz w:val="21"/>
        </w:rPr>
        <w:t>21．驹形杆菌可合成细菌纤维素（BC）并将其分泌到胞外组装成膜。作为一种性能优异的生物材料，BC膜应用广泛。研究者设计了酪氨酸酶（可催化酪氨酸形成黑色素）的光控表达载体，将其转入驹形杆菌后构建出一株能合成BC膜并可实现光控染色的工程菌株，为新型纺织原料的绿色制造及印染工艺升级提供了新思路（图一）。</w:t>
      </w:r>
    </w:p>
    <w:p w14:paraId="45454C5D">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669155" cy="1607820"/>
            <wp:effectExtent l="0" t="0" r="4445" b="5080"/>
            <wp:docPr id="100019" name="图片 100019" descr="@@@4c59c05cc1ae4137afbbd60a67d1c1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4c59c05cc1ae4137afbbd60a67d1c10b"/>
                    <pic:cNvPicPr>
                      <a:picLocks noChangeAspect="1"/>
                    </pic:cNvPicPr>
                  </pic:nvPicPr>
                  <pic:blipFill>
                    <a:blip r:embed="rId19"/>
                    <a:stretch>
                      <a:fillRect/>
                    </a:stretch>
                  </pic:blipFill>
                  <pic:spPr>
                    <a:xfrm>
                      <a:off x="0" y="0"/>
                      <a:ext cx="4669155" cy="1607820"/>
                    </a:xfrm>
                    <a:prstGeom prst="rect">
                      <a:avLst/>
                    </a:prstGeom>
                  </pic:spPr>
                </pic:pic>
              </a:graphicData>
            </a:graphic>
          </wp:inline>
        </w:drawing>
      </w:r>
    </w:p>
    <w:p w14:paraId="2F36DC3F">
      <w:pPr>
        <w:shd w:val="clear" w:color="auto" w:fill="auto"/>
        <w:spacing w:line="360" w:lineRule="auto"/>
        <w:jc w:val="left"/>
        <w:textAlignment w:val="center"/>
        <w:rPr>
          <w:sz w:val="21"/>
        </w:rPr>
      </w:pPr>
      <w:r>
        <w:rPr>
          <w:sz w:val="21"/>
        </w:rPr>
        <w:t>回答下列问题：</w:t>
      </w:r>
    </w:p>
    <w:p w14:paraId="132AF1FC">
      <w:pPr>
        <w:shd w:val="clear" w:color="auto" w:fill="auto"/>
        <w:spacing w:line="360" w:lineRule="auto"/>
        <w:jc w:val="left"/>
        <w:textAlignment w:val="center"/>
        <w:rPr>
          <w:sz w:val="21"/>
        </w:rPr>
      </w:pPr>
      <w:r>
        <w:rPr>
          <w:sz w:val="21"/>
        </w:rPr>
        <w:t>(1)研究者优化了培养基的</w:t>
      </w:r>
      <w:r>
        <w:rPr>
          <w:rFonts w:ascii="Times New Roman" w:hAnsi="Times New Roman" w:eastAsia="Times New Roman" w:cs="Times New Roman"/>
          <w:b w:val="0"/>
          <w:sz w:val="21"/>
        </w:rPr>
        <w:t>_______</w:t>
      </w:r>
      <w:r>
        <w:rPr>
          <w:sz w:val="21"/>
        </w:rPr>
        <w:t>（答两点）等营养条件，并控制环境条件，大规模培养工程菌株后可在气液界面处获得BC菌膜（菌体和 BC膜的复合物）。</w:t>
      </w:r>
    </w:p>
    <w:p w14:paraId="78B3E3B5">
      <w:pPr>
        <w:shd w:val="clear" w:color="auto" w:fill="auto"/>
        <w:spacing w:line="360" w:lineRule="auto"/>
        <w:jc w:val="left"/>
        <w:textAlignment w:val="center"/>
        <w:rPr>
          <w:sz w:val="21"/>
        </w:rPr>
      </w:pPr>
      <w:r>
        <w:rPr>
          <w:sz w:val="21"/>
        </w:rPr>
        <w:t>(2)研究者利用T7 噬菌体来源的RNA聚合酶（T7RNAP）及蓝光光敏蛋白标签，构建了一种可被蓝光调控的基因表达载体（光控原理见图二a，载体的部分结构见图二b）。构建载体时，选用了通用型启动子 PBAD（被工程菌 RNA 聚合酶识别）和特异型启动子PT7（仅被T7RNAP识别）。为实现蓝光控制染色，启动子①②及③依次为</w:t>
      </w:r>
      <w:r>
        <w:rPr>
          <w:rFonts w:ascii="Times New Roman" w:hAnsi="Times New Roman" w:eastAsia="Times New Roman" w:cs="Times New Roman"/>
          <w:b w:val="0"/>
          <w:sz w:val="21"/>
        </w:rPr>
        <w:t>________</w:t>
      </w:r>
      <w:r>
        <w:rPr>
          <w:sz w:val="21"/>
        </w:rPr>
        <w:t>，理由是</w:t>
      </w:r>
      <w:r>
        <w:rPr>
          <w:rFonts w:ascii="Times New Roman" w:hAnsi="Times New Roman" w:eastAsia="Times New Roman" w:cs="Times New Roman"/>
          <w:b w:val="0"/>
          <w:sz w:val="21"/>
        </w:rPr>
        <w:t>___________</w:t>
      </w:r>
      <w:r>
        <w:rPr>
          <w:sz w:val="21"/>
        </w:rPr>
        <w:t>。</w:t>
      </w:r>
    </w:p>
    <w:p w14:paraId="69FA4C0C">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457700" cy="3067050"/>
            <wp:effectExtent l="0" t="0" r="0" b="6350"/>
            <wp:docPr id="100021" name="图片 100021" descr="@@@512f5d8774394dd98175454cc36b77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512f5d8774394dd98175454cc36b77d5"/>
                    <pic:cNvPicPr>
                      <a:picLocks noChangeAspect="1"/>
                    </pic:cNvPicPr>
                  </pic:nvPicPr>
                  <pic:blipFill>
                    <a:blip r:embed="rId20"/>
                    <a:stretch>
                      <a:fillRect/>
                    </a:stretch>
                  </pic:blipFill>
                  <pic:spPr>
                    <a:xfrm>
                      <a:off x="0" y="0"/>
                      <a:ext cx="4457700" cy="3067050"/>
                    </a:xfrm>
                    <a:prstGeom prst="rect">
                      <a:avLst/>
                    </a:prstGeom>
                  </pic:spPr>
                </pic:pic>
              </a:graphicData>
            </a:graphic>
          </wp:inline>
        </w:drawing>
      </w:r>
    </w:p>
    <w:p w14:paraId="179026F0">
      <w:pPr>
        <w:shd w:val="clear" w:color="auto" w:fill="auto"/>
        <w:spacing w:line="360" w:lineRule="auto"/>
        <w:jc w:val="left"/>
        <w:textAlignment w:val="center"/>
        <w:rPr>
          <w:sz w:val="21"/>
        </w:rPr>
      </w:pPr>
      <w:r>
        <w:rPr>
          <w:sz w:val="21"/>
        </w:rPr>
        <w:t>(3)光控表达载体携带大观霉素（抗生素）抗性基因。长时间培养时在培养液中加入大观霉素，其作用为</w:t>
      </w:r>
      <w:r>
        <w:rPr>
          <w:rFonts w:ascii="Times New Roman" w:hAnsi="Times New Roman" w:eastAsia="Times New Roman" w:cs="Times New Roman"/>
          <w:b w:val="0"/>
          <w:sz w:val="21"/>
        </w:rPr>
        <w:t>________________________</w:t>
      </w:r>
      <w:r>
        <w:rPr>
          <w:sz w:val="21"/>
        </w:rPr>
        <w:t>（答两点）。</w:t>
      </w:r>
    </w:p>
    <w:p w14:paraId="4FEC0315">
      <w:pPr>
        <w:shd w:val="clear" w:color="auto" w:fill="auto"/>
        <w:spacing w:line="360" w:lineRule="auto"/>
        <w:jc w:val="left"/>
        <w:textAlignment w:val="center"/>
        <w:rPr>
          <w:sz w:val="21"/>
        </w:rPr>
      </w:pPr>
      <w:r>
        <w:rPr>
          <w:sz w:val="21"/>
        </w:rPr>
        <w:t>(4)根据预设的图案用蓝光照射已长出的BC菌膜并继续培养一段时间，随后将其转至染色池处理，发现只有经蓝光照射的区域被染成黑色，其原因是</w:t>
      </w:r>
      <w:r>
        <w:rPr>
          <w:rFonts w:ascii="Times New Roman" w:hAnsi="Times New Roman" w:eastAsia="Times New Roman" w:cs="Times New Roman"/>
          <w:b w:val="0"/>
          <w:sz w:val="21"/>
        </w:rPr>
        <w:t>_____</w:t>
      </w:r>
      <w:r>
        <w:rPr>
          <w:sz w:val="21"/>
        </w:rPr>
        <w:t>。</w:t>
      </w:r>
    </w:p>
    <w:p w14:paraId="1AB81410">
      <w:pPr>
        <w:shd w:val="clear" w:color="auto" w:fill="auto"/>
        <w:spacing w:line="360" w:lineRule="auto"/>
        <w:jc w:val="left"/>
        <w:textAlignment w:val="center"/>
        <w:rPr>
          <w:sz w:val="21"/>
        </w:rPr>
      </w:pPr>
      <w:r>
        <w:rPr>
          <w:sz w:val="21"/>
        </w:rPr>
        <w:t>(5)有企业希望生产其他颜色图案的BC膜。按照上述菌株的构建模式提出一个简单思路</w:t>
      </w:r>
      <w:r>
        <w:rPr>
          <w:rFonts w:ascii="Times New Roman" w:hAnsi="Times New Roman" w:eastAsia="Times New Roman" w:cs="Times New Roman"/>
          <w:b w:val="0"/>
          <w:sz w:val="21"/>
        </w:rPr>
        <w:t>______</w:t>
      </w:r>
      <w:r>
        <w:rPr>
          <w:sz w:val="21"/>
        </w:rPr>
        <w:t>。</w:t>
      </w:r>
    </w:p>
    <w:p w14:paraId="4F832685">
      <w:pPr>
        <w:shd w:val="clear" w:color="auto" w:fill="auto"/>
        <w:spacing w:line="360" w:lineRule="auto"/>
        <w:jc w:val="left"/>
        <w:textAlignment w:val="center"/>
        <w:rPr>
          <w:sz w:val="21"/>
        </w:rPr>
        <w:sectPr>
          <w:footerReference r:id="rId3" w:type="default"/>
          <w:footerReference r:id="rId4" w:type="even"/>
          <w:pgSz w:w="11907" w:h="16839"/>
          <w:pgMar w:top="1440" w:right="1800" w:bottom="1440" w:left="1800" w:header="851" w:footer="425" w:gutter="0"/>
          <w:cols w:space="425" w:num="1" w:sep="1"/>
          <w:docGrid w:type="lines" w:linePitch="312" w:charSpace="0"/>
        </w:sectPr>
      </w:pPr>
    </w:p>
    <w:p w14:paraId="7D636FA7">
      <w:pPr>
        <w:jc w:val="center"/>
        <w:textAlignment w:val="center"/>
        <w:rPr>
          <w:rFonts w:ascii="宋体" w:hAnsi="宋体" w:eastAsia="宋体" w:cs="宋体"/>
          <w:b/>
          <w:i w:val="0"/>
          <w:color w:val="000000"/>
          <w:sz w:val="21"/>
        </w:rPr>
      </w:pPr>
      <w:r>
        <w:rPr>
          <w:rFonts w:hint="eastAsia"/>
          <w:color w:val="000000"/>
          <w:sz w:val="30"/>
          <w:szCs w:val="30"/>
          <w:lang w:val="en-US" w:eastAsia="zh-CN"/>
        </w:rPr>
        <w:t>深圳外国语学校高中部2027届暑假生物综合练习一参考答案</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4"/>
        <w:gridCol w:w="774"/>
        <w:gridCol w:w="775"/>
        <w:gridCol w:w="775"/>
        <w:gridCol w:w="775"/>
        <w:gridCol w:w="775"/>
        <w:gridCol w:w="775"/>
        <w:gridCol w:w="775"/>
        <w:gridCol w:w="775"/>
        <w:gridCol w:w="775"/>
        <w:gridCol w:w="775"/>
      </w:tblGrid>
      <w:tr w14:paraId="482D50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54" w:type="pct"/>
            <w:tcMar>
              <w:top w:w="0" w:type="dxa"/>
              <w:bottom w:w="0" w:type="dxa"/>
            </w:tcMar>
            <w:vAlign w:val="center"/>
          </w:tcPr>
          <w:p w14:paraId="14835A01">
            <w:pPr>
              <w:jc w:val="center"/>
              <w:textAlignment w:val="center"/>
              <w:rPr>
                <w:rFonts w:ascii="宋体" w:hAnsi="宋体" w:eastAsia="宋体" w:cs="宋体"/>
                <w:b/>
                <w:i w:val="0"/>
                <w:color w:val="000000"/>
                <w:sz w:val="21"/>
              </w:rPr>
            </w:pPr>
            <w:r>
              <w:rPr>
                <w:rFonts w:ascii="宋体" w:hAnsi="宋体" w:eastAsia="宋体" w:cs="宋体"/>
                <w:b/>
                <w:i w:val="0"/>
                <w:color w:val="000000"/>
                <w:sz w:val="21"/>
              </w:rPr>
              <w:t>题号</w:t>
            </w:r>
          </w:p>
        </w:tc>
        <w:tc>
          <w:tcPr>
            <w:tcW w:w="454" w:type="pct"/>
            <w:tcMar>
              <w:top w:w="0" w:type="dxa"/>
              <w:bottom w:w="0" w:type="dxa"/>
            </w:tcMar>
            <w:vAlign w:val="center"/>
          </w:tcPr>
          <w:p w14:paraId="7B83CBB1">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1</w:t>
            </w:r>
          </w:p>
        </w:tc>
        <w:tc>
          <w:tcPr>
            <w:tcW w:w="454" w:type="pct"/>
            <w:tcMar>
              <w:top w:w="0" w:type="dxa"/>
              <w:bottom w:w="0" w:type="dxa"/>
            </w:tcMar>
            <w:vAlign w:val="center"/>
          </w:tcPr>
          <w:p w14:paraId="3270D3F5">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2</w:t>
            </w:r>
          </w:p>
        </w:tc>
        <w:tc>
          <w:tcPr>
            <w:tcW w:w="454" w:type="pct"/>
            <w:tcMar>
              <w:top w:w="0" w:type="dxa"/>
              <w:bottom w:w="0" w:type="dxa"/>
            </w:tcMar>
            <w:vAlign w:val="center"/>
          </w:tcPr>
          <w:p w14:paraId="3FBD1DEE">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3</w:t>
            </w:r>
          </w:p>
        </w:tc>
        <w:tc>
          <w:tcPr>
            <w:tcW w:w="454" w:type="pct"/>
            <w:tcMar>
              <w:top w:w="0" w:type="dxa"/>
              <w:bottom w:w="0" w:type="dxa"/>
            </w:tcMar>
            <w:vAlign w:val="center"/>
          </w:tcPr>
          <w:p w14:paraId="57435B2D">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4</w:t>
            </w:r>
          </w:p>
        </w:tc>
        <w:tc>
          <w:tcPr>
            <w:tcW w:w="454" w:type="pct"/>
            <w:tcMar>
              <w:top w:w="0" w:type="dxa"/>
              <w:bottom w:w="0" w:type="dxa"/>
            </w:tcMar>
            <w:vAlign w:val="center"/>
          </w:tcPr>
          <w:p w14:paraId="139405AD">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5</w:t>
            </w:r>
          </w:p>
        </w:tc>
        <w:tc>
          <w:tcPr>
            <w:tcW w:w="454" w:type="pct"/>
            <w:tcMar>
              <w:top w:w="0" w:type="dxa"/>
              <w:bottom w:w="0" w:type="dxa"/>
            </w:tcMar>
            <w:vAlign w:val="center"/>
          </w:tcPr>
          <w:p w14:paraId="198D5A38">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6</w:t>
            </w:r>
          </w:p>
        </w:tc>
        <w:tc>
          <w:tcPr>
            <w:tcW w:w="454" w:type="pct"/>
            <w:tcMar>
              <w:top w:w="0" w:type="dxa"/>
              <w:bottom w:w="0" w:type="dxa"/>
            </w:tcMar>
            <w:vAlign w:val="center"/>
          </w:tcPr>
          <w:p w14:paraId="3665F30E">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7</w:t>
            </w:r>
          </w:p>
        </w:tc>
        <w:tc>
          <w:tcPr>
            <w:tcW w:w="454" w:type="pct"/>
            <w:tcMar>
              <w:top w:w="0" w:type="dxa"/>
              <w:bottom w:w="0" w:type="dxa"/>
            </w:tcMar>
            <w:vAlign w:val="center"/>
          </w:tcPr>
          <w:p w14:paraId="01D8135A">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8</w:t>
            </w:r>
          </w:p>
        </w:tc>
        <w:tc>
          <w:tcPr>
            <w:tcW w:w="454" w:type="pct"/>
            <w:tcMar>
              <w:top w:w="0" w:type="dxa"/>
              <w:bottom w:w="0" w:type="dxa"/>
            </w:tcMar>
            <w:vAlign w:val="center"/>
          </w:tcPr>
          <w:p w14:paraId="3E51815B">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9</w:t>
            </w:r>
          </w:p>
        </w:tc>
        <w:tc>
          <w:tcPr>
            <w:tcW w:w="454" w:type="pct"/>
            <w:tcMar>
              <w:top w:w="0" w:type="dxa"/>
              <w:bottom w:w="0" w:type="dxa"/>
            </w:tcMar>
            <w:vAlign w:val="center"/>
          </w:tcPr>
          <w:p w14:paraId="41B446B2">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10</w:t>
            </w:r>
          </w:p>
        </w:tc>
      </w:tr>
      <w:tr w14:paraId="6311A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4" w:type="pct"/>
            <w:tcMar>
              <w:top w:w="0" w:type="dxa"/>
              <w:bottom w:w="0" w:type="dxa"/>
            </w:tcMar>
            <w:vAlign w:val="center"/>
          </w:tcPr>
          <w:p w14:paraId="25A5F87E">
            <w:pPr>
              <w:jc w:val="center"/>
              <w:textAlignment w:val="center"/>
              <w:rPr>
                <w:rFonts w:ascii="宋体" w:hAnsi="宋体" w:eastAsia="宋体" w:cs="宋体"/>
                <w:b/>
                <w:i w:val="0"/>
                <w:color w:val="000000"/>
                <w:sz w:val="21"/>
              </w:rPr>
            </w:pPr>
            <w:r>
              <w:rPr>
                <w:rFonts w:ascii="宋体" w:hAnsi="宋体" w:eastAsia="宋体" w:cs="宋体"/>
                <w:b/>
                <w:i w:val="0"/>
                <w:color w:val="000000"/>
                <w:sz w:val="21"/>
              </w:rPr>
              <w:t>答案</w:t>
            </w:r>
          </w:p>
        </w:tc>
        <w:tc>
          <w:tcPr>
            <w:tcW w:w="454" w:type="pct"/>
            <w:tcMar>
              <w:top w:w="0" w:type="dxa"/>
              <w:bottom w:w="0" w:type="dxa"/>
            </w:tcMar>
            <w:vAlign w:val="center"/>
          </w:tcPr>
          <w:p w14:paraId="481E30B0">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A</w:t>
            </w:r>
          </w:p>
        </w:tc>
        <w:tc>
          <w:tcPr>
            <w:tcW w:w="454" w:type="pct"/>
            <w:tcMar>
              <w:top w:w="0" w:type="dxa"/>
              <w:bottom w:w="0" w:type="dxa"/>
            </w:tcMar>
            <w:vAlign w:val="center"/>
          </w:tcPr>
          <w:p w14:paraId="48E1EE47">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D</w:t>
            </w:r>
          </w:p>
        </w:tc>
        <w:tc>
          <w:tcPr>
            <w:tcW w:w="454" w:type="pct"/>
            <w:tcMar>
              <w:top w:w="0" w:type="dxa"/>
              <w:bottom w:w="0" w:type="dxa"/>
            </w:tcMar>
            <w:vAlign w:val="center"/>
          </w:tcPr>
          <w:p w14:paraId="4D2A451C">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C</w:t>
            </w:r>
          </w:p>
        </w:tc>
        <w:tc>
          <w:tcPr>
            <w:tcW w:w="454" w:type="pct"/>
            <w:tcMar>
              <w:top w:w="0" w:type="dxa"/>
              <w:bottom w:w="0" w:type="dxa"/>
            </w:tcMar>
            <w:vAlign w:val="center"/>
          </w:tcPr>
          <w:p w14:paraId="0E23BBB0">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B</w:t>
            </w:r>
          </w:p>
        </w:tc>
        <w:tc>
          <w:tcPr>
            <w:tcW w:w="454" w:type="pct"/>
            <w:tcMar>
              <w:top w:w="0" w:type="dxa"/>
              <w:bottom w:w="0" w:type="dxa"/>
            </w:tcMar>
            <w:vAlign w:val="center"/>
          </w:tcPr>
          <w:p w14:paraId="5870BA09">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D</w:t>
            </w:r>
          </w:p>
        </w:tc>
        <w:tc>
          <w:tcPr>
            <w:tcW w:w="454" w:type="pct"/>
            <w:tcMar>
              <w:top w:w="0" w:type="dxa"/>
              <w:bottom w:w="0" w:type="dxa"/>
            </w:tcMar>
            <w:vAlign w:val="center"/>
          </w:tcPr>
          <w:p w14:paraId="30844D61">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A</w:t>
            </w:r>
          </w:p>
        </w:tc>
        <w:tc>
          <w:tcPr>
            <w:tcW w:w="454" w:type="pct"/>
            <w:tcMar>
              <w:top w:w="0" w:type="dxa"/>
              <w:bottom w:w="0" w:type="dxa"/>
            </w:tcMar>
            <w:vAlign w:val="center"/>
          </w:tcPr>
          <w:p w14:paraId="1D53972F">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C</w:t>
            </w:r>
          </w:p>
        </w:tc>
        <w:tc>
          <w:tcPr>
            <w:tcW w:w="454" w:type="pct"/>
            <w:tcMar>
              <w:top w:w="0" w:type="dxa"/>
              <w:bottom w:w="0" w:type="dxa"/>
            </w:tcMar>
            <w:vAlign w:val="center"/>
          </w:tcPr>
          <w:p w14:paraId="4494DF1C">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B</w:t>
            </w:r>
          </w:p>
        </w:tc>
        <w:tc>
          <w:tcPr>
            <w:tcW w:w="454" w:type="pct"/>
            <w:tcMar>
              <w:top w:w="0" w:type="dxa"/>
              <w:bottom w:w="0" w:type="dxa"/>
            </w:tcMar>
            <w:vAlign w:val="center"/>
          </w:tcPr>
          <w:p w14:paraId="14C47302">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A</w:t>
            </w:r>
          </w:p>
        </w:tc>
        <w:tc>
          <w:tcPr>
            <w:tcW w:w="454" w:type="pct"/>
            <w:tcMar>
              <w:top w:w="0" w:type="dxa"/>
              <w:bottom w:w="0" w:type="dxa"/>
            </w:tcMar>
            <w:vAlign w:val="center"/>
          </w:tcPr>
          <w:p w14:paraId="3852F515">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D</w:t>
            </w:r>
          </w:p>
        </w:tc>
      </w:tr>
      <w:tr w14:paraId="304B05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4" w:type="pct"/>
            <w:tcMar>
              <w:top w:w="0" w:type="dxa"/>
              <w:bottom w:w="0" w:type="dxa"/>
            </w:tcMar>
            <w:vAlign w:val="center"/>
          </w:tcPr>
          <w:p w14:paraId="4A032BC5">
            <w:pPr>
              <w:jc w:val="center"/>
              <w:textAlignment w:val="center"/>
              <w:rPr>
                <w:rFonts w:ascii="宋体" w:hAnsi="宋体" w:eastAsia="宋体" w:cs="宋体"/>
                <w:b/>
                <w:i w:val="0"/>
                <w:color w:val="000000"/>
                <w:sz w:val="21"/>
              </w:rPr>
            </w:pPr>
            <w:r>
              <w:rPr>
                <w:rFonts w:ascii="宋体" w:hAnsi="宋体" w:eastAsia="宋体" w:cs="宋体"/>
                <w:b/>
                <w:i w:val="0"/>
                <w:color w:val="000000"/>
                <w:sz w:val="21"/>
              </w:rPr>
              <w:t>题号</w:t>
            </w:r>
          </w:p>
        </w:tc>
        <w:tc>
          <w:tcPr>
            <w:tcW w:w="454" w:type="pct"/>
            <w:tcMar>
              <w:top w:w="0" w:type="dxa"/>
              <w:bottom w:w="0" w:type="dxa"/>
            </w:tcMar>
            <w:vAlign w:val="center"/>
          </w:tcPr>
          <w:p w14:paraId="6694115B">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11</w:t>
            </w:r>
          </w:p>
        </w:tc>
        <w:tc>
          <w:tcPr>
            <w:tcW w:w="454" w:type="pct"/>
            <w:tcMar>
              <w:top w:w="0" w:type="dxa"/>
              <w:bottom w:w="0" w:type="dxa"/>
            </w:tcMar>
            <w:vAlign w:val="center"/>
          </w:tcPr>
          <w:p w14:paraId="7E9C44DE">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12</w:t>
            </w:r>
          </w:p>
        </w:tc>
        <w:tc>
          <w:tcPr>
            <w:tcW w:w="454" w:type="pct"/>
            <w:tcMar>
              <w:top w:w="0" w:type="dxa"/>
              <w:bottom w:w="0" w:type="dxa"/>
            </w:tcMar>
            <w:vAlign w:val="center"/>
          </w:tcPr>
          <w:p w14:paraId="4434AA9C">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13</w:t>
            </w:r>
          </w:p>
        </w:tc>
        <w:tc>
          <w:tcPr>
            <w:tcW w:w="454" w:type="pct"/>
            <w:tcMar>
              <w:top w:w="0" w:type="dxa"/>
              <w:bottom w:w="0" w:type="dxa"/>
            </w:tcMar>
            <w:vAlign w:val="center"/>
          </w:tcPr>
          <w:p w14:paraId="39E32AE0">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14</w:t>
            </w:r>
          </w:p>
        </w:tc>
        <w:tc>
          <w:tcPr>
            <w:tcW w:w="454" w:type="pct"/>
            <w:tcMar>
              <w:top w:w="0" w:type="dxa"/>
              <w:bottom w:w="0" w:type="dxa"/>
            </w:tcMar>
            <w:vAlign w:val="center"/>
          </w:tcPr>
          <w:p w14:paraId="4C96D434">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15</w:t>
            </w:r>
          </w:p>
        </w:tc>
        <w:tc>
          <w:tcPr>
            <w:tcW w:w="454" w:type="pct"/>
            <w:tcMar>
              <w:top w:w="0" w:type="dxa"/>
              <w:bottom w:w="0" w:type="dxa"/>
            </w:tcMar>
            <w:vAlign w:val="center"/>
          </w:tcPr>
          <w:p w14:paraId="01FFDFF5">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16</w:t>
            </w:r>
          </w:p>
        </w:tc>
        <w:tc>
          <w:tcPr>
            <w:tcW w:w="454" w:type="pct"/>
            <w:tcMar>
              <w:top w:w="0" w:type="dxa"/>
              <w:bottom w:w="0" w:type="dxa"/>
            </w:tcMar>
            <w:vAlign w:val="center"/>
          </w:tcPr>
          <w:p w14:paraId="74BCBE9D">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 xml:space="preserve"> </w:t>
            </w:r>
          </w:p>
        </w:tc>
        <w:tc>
          <w:tcPr>
            <w:tcW w:w="454" w:type="pct"/>
            <w:tcMar>
              <w:top w:w="0" w:type="dxa"/>
              <w:bottom w:w="0" w:type="dxa"/>
            </w:tcMar>
            <w:vAlign w:val="center"/>
          </w:tcPr>
          <w:p w14:paraId="66EEB044">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 xml:space="preserve"> </w:t>
            </w:r>
          </w:p>
        </w:tc>
        <w:tc>
          <w:tcPr>
            <w:tcW w:w="454" w:type="pct"/>
            <w:tcMar>
              <w:top w:w="0" w:type="dxa"/>
              <w:bottom w:w="0" w:type="dxa"/>
            </w:tcMar>
            <w:vAlign w:val="center"/>
          </w:tcPr>
          <w:p w14:paraId="55BDDB02">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 xml:space="preserve"> </w:t>
            </w:r>
          </w:p>
        </w:tc>
        <w:tc>
          <w:tcPr>
            <w:tcW w:w="454" w:type="pct"/>
            <w:tcMar>
              <w:top w:w="0" w:type="dxa"/>
              <w:bottom w:w="0" w:type="dxa"/>
            </w:tcMar>
            <w:vAlign w:val="center"/>
          </w:tcPr>
          <w:p w14:paraId="5E3357E9">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 xml:space="preserve"> </w:t>
            </w:r>
          </w:p>
        </w:tc>
      </w:tr>
      <w:tr w14:paraId="45046F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4" w:type="pct"/>
            <w:tcMar>
              <w:top w:w="0" w:type="dxa"/>
              <w:bottom w:w="0" w:type="dxa"/>
            </w:tcMar>
            <w:vAlign w:val="center"/>
          </w:tcPr>
          <w:p w14:paraId="690F40EA">
            <w:pPr>
              <w:jc w:val="center"/>
              <w:textAlignment w:val="center"/>
              <w:rPr>
                <w:rFonts w:ascii="宋体" w:hAnsi="宋体" w:eastAsia="宋体" w:cs="宋体"/>
                <w:b/>
                <w:i w:val="0"/>
                <w:color w:val="000000"/>
                <w:sz w:val="21"/>
              </w:rPr>
            </w:pPr>
            <w:r>
              <w:rPr>
                <w:rFonts w:ascii="宋体" w:hAnsi="宋体" w:eastAsia="宋体" w:cs="宋体"/>
                <w:b/>
                <w:i w:val="0"/>
                <w:color w:val="000000"/>
                <w:sz w:val="21"/>
              </w:rPr>
              <w:t>答案</w:t>
            </w:r>
          </w:p>
        </w:tc>
        <w:tc>
          <w:tcPr>
            <w:tcW w:w="454" w:type="pct"/>
            <w:tcMar>
              <w:top w:w="0" w:type="dxa"/>
              <w:bottom w:w="0" w:type="dxa"/>
            </w:tcMar>
            <w:vAlign w:val="center"/>
          </w:tcPr>
          <w:p w14:paraId="6C1BED0D">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C</w:t>
            </w:r>
          </w:p>
        </w:tc>
        <w:tc>
          <w:tcPr>
            <w:tcW w:w="454" w:type="pct"/>
            <w:tcMar>
              <w:top w:w="0" w:type="dxa"/>
              <w:bottom w:w="0" w:type="dxa"/>
            </w:tcMar>
            <w:vAlign w:val="center"/>
          </w:tcPr>
          <w:p w14:paraId="14812C46">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B</w:t>
            </w:r>
          </w:p>
        </w:tc>
        <w:tc>
          <w:tcPr>
            <w:tcW w:w="454" w:type="pct"/>
            <w:tcMar>
              <w:top w:w="0" w:type="dxa"/>
              <w:bottom w:w="0" w:type="dxa"/>
            </w:tcMar>
            <w:vAlign w:val="center"/>
          </w:tcPr>
          <w:p w14:paraId="453783EE">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B</w:t>
            </w:r>
          </w:p>
        </w:tc>
        <w:tc>
          <w:tcPr>
            <w:tcW w:w="454" w:type="pct"/>
            <w:tcMar>
              <w:top w:w="0" w:type="dxa"/>
              <w:bottom w:w="0" w:type="dxa"/>
            </w:tcMar>
            <w:vAlign w:val="center"/>
          </w:tcPr>
          <w:p w14:paraId="181E825B">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C</w:t>
            </w:r>
          </w:p>
        </w:tc>
        <w:tc>
          <w:tcPr>
            <w:tcW w:w="454" w:type="pct"/>
            <w:tcMar>
              <w:top w:w="0" w:type="dxa"/>
              <w:bottom w:w="0" w:type="dxa"/>
            </w:tcMar>
            <w:vAlign w:val="center"/>
          </w:tcPr>
          <w:p w14:paraId="2938D1F6">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B</w:t>
            </w:r>
          </w:p>
        </w:tc>
        <w:tc>
          <w:tcPr>
            <w:tcW w:w="454" w:type="pct"/>
            <w:tcMar>
              <w:top w:w="0" w:type="dxa"/>
              <w:bottom w:w="0" w:type="dxa"/>
            </w:tcMar>
            <w:vAlign w:val="center"/>
          </w:tcPr>
          <w:p w14:paraId="44D8A22D">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D</w:t>
            </w:r>
          </w:p>
        </w:tc>
        <w:tc>
          <w:tcPr>
            <w:tcW w:w="454" w:type="pct"/>
            <w:tcMar>
              <w:top w:w="0" w:type="dxa"/>
              <w:bottom w:w="0" w:type="dxa"/>
            </w:tcMar>
            <w:vAlign w:val="center"/>
          </w:tcPr>
          <w:p w14:paraId="6F9D1900">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 xml:space="preserve"> </w:t>
            </w:r>
          </w:p>
        </w:tc>
        <w:tc>
          <w:tcPr>
            <w:tcW w:w="454" w:type="pct"/>
            <w:tcMar>
              <w:top w:w="0" w:type="dxa"/>
              <w:bottom w:w="0" w:type="dxa"/>
            </w:tcMar>
            <w:vAlign w:val="center"/>
          </w:tcPr>
          <w:p w14:paraId="2284BB73">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 xml:space="preserve"> </w:t>
            </w:r>
          </w:p>
        </w:tc>
        <w:tc>
          <w:tcPr>
            <w:tcW w:w="454" w:type="pct"/>
            <w:tcMar>
              <w:top w:w="0" w:type="dxa"/>
              <w:bottom w:w="0" w:type="dxa"/>
            </w:tcMar>
            <w:vAlign w:val="center"/>
          </w:tcPr>
          <w:p w14:paraId="362AD728">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 xml:space="preserve"> </w:t>
            </w:r>
          </w:p>
        </w:tc>
        <w:tc>
          <w:tcPr>
            <w:tcW w:w="454" w:type="pct"/>
            <w:tcMar>
              <w:top w:w="0" w:type="dxa"/>
              <w:bottom w:w="0" w:type="dxa"/>
            </w:tcMar>
            <w:vAlign w:val="center"/>
          </w:tcPr>
          <w:p w14:paraId="2E24E83C">
            <w:pPr>
              <w:jc w:val="center"/>
              <w:textAlignment w:val="center"/>
              <w:rPr>
                <w:rFonts w:ascii="宋体" w:hAnsi="宋体" w:eastAsia="宋体" w:cs="宋体"/>
                <w:b w:val="0"/>
                <w:i w:val="0"/>
                <w:color w:val="000000"/>
                <w:sz w:val="21"/>
              </w:rPr>
            </w:pPr>
            <w:r>
              <w:rPr>
                <w:rFonts w:ascii="宋体" w:hAnsi="宋体" w:eastAsia="宋体" w:cs="宋体"/>
                <w:b w:val="0"/>
                <w:i w:val="0"/>
                <w:color w:val="000000"/>
                <w:sz w:val="21"/>
              </w:rPr>
              <w:t xml:space="preserve"> </w:t>
            </w:r>
          </w:p>
        </w:tc>
      </w:tr>
    </w:tbl>
    <w:p w14:paraId="47B5ED04">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1．A</w:t>
      </w:r>
    </w:p>
    <w:p w14:paraId="2722F32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【详解】A、开发海洋牧场，发展深海渔业可获取水产品且不需要投饵，属于“碳汇渔业”，A符合题意；</w:t>
      </w:r>
    </w:p>
    <w:p w14:paraId="641EF73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BC、建设大坝鱼道，保障鱼类洄游、控制无序捕捞，实施长江禁渔，均没有收获水产品，不属于“碳汇渔业”，BC不符合题意；</w:t>
      </w:r>
    </w:p>
    <w:p w14:paraId="36904A7D">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D、增加饵料投放，不符合“不投饵渔业”，不属于“碳汇渔业”，D不符合题意。</w:t>
      </w:r>
    </w:p>
    <w:p w14:paraId="6B1FE2B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2．D</w:t>
      </w:r>
    </w:p>
    <w:p w14:paraId="6E386F9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【详解】由题干信息可知，采集到的蓝细菌其细胞内存在由两层膜组成的片层结构，此结构可进行光合作用与呼吸作用，进行光合作用时，光反应阶段可以将ADP和Pi转化为ATP，NADP</w:t>
      </w:r>
      <w:r>
        <w:rPr>
          <w:sz w:val="21"/>
          <w:vertAlign w:val="superscript"/>
        </w:rPr>
        <w:t>+</w:t>
      </w:r>
      <w:r>
        <w:rPr>
          <w:sz w:val="21"/>
        </w:rPr>
        <w:t>和H</w:t>
      </w:r>
      <w:r>
        <w:rPr>
          <w:sz w:val="21"/>
          <w:vertAlign w:val="superscript"/>
        </w:rPr>
        <w:t>+</w:t>
      </w:r>
      <w:r>
        <w:rPr>
          <w:sz w:val="21"/>
        </w:rPr>
        <w:t>转化为NADPH，用于暗反应，有氧呼吸的第一阶段和第二阶段都可以生成NADH，而DNA存在于蓝细菌的拟核中，D正确，ABC错误。</w:t>
      </w:r>
    </w:p>
    <w:p w14:paraId="0DF2501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3．C</w:t>
      </w:r>
    </w:p>
    <w:p w14:paraId="209C0F0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【详解】A、本实验目的是用纸层析法探究银杏绿叶和黄叶的色素差别，选择新鲜程度不同的叶片分开研磨，A错误；</w:t>
      </w:r>
    </w:p>
    <w:p w14:paraId="6E7702E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B、色素溶于有机溶剂，提取液为无水乙醇，光合色素不溶于水，B错误；</w:t>
      </w:r>
    </w:p>
    <w:p w14:paraId="5256E940">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C、由于滤纸条不会相互影响，层析液的成分相同，两组滤纸条可以置于同一个烧杯中层析，C正确；</w:t>
      </w:r>
    </w:p>
    <w:p w14:paraId="7BF5B75E">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D、用过的层析液含有石油醚、丙酮和苯，不能直接倒入下水道，D错误。</w:t>
      </w:r>
    </w:p>
    <w:p w14:paraId="75DA288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4．B</w:t>
      </w:r>
    </w:p>
    <w:p w14:paraId="56F99E0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【详解】A、电子显微镜的发明是在细胞学说提出之后，细胞学说的提出主要基于光学显微镜的观察和研究，A 错误；</w:t>
      </w:r>
    </w:p>
    <w:p w14:paraId="3472127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B、差速离心法可以通过不同的离心速度将细胞内大小、密度不同的细胞器分离开来，促进对细胞器的认识，B正确；</w:t>
      </w:r>
    </w:p>
    <w:p w14:paraId="2F2D817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 光合作用的解析主要是对植物的光合作用机制进行研究，而花期控制技术更多地涉及到植物激素、环境因素等方面的知识，光合作用的解析与花期控制技术的成熟关系不大，C 错误；</w:t>
      </w:r>
    </w:p>
    <w:p w14:paraId="5FB2979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 PCR 技术的发明并非直接由于 RNA 聚合酶的发现，PCR 技术的关键在于热稳定的 DNA 聚合酶的应用，D 错误。</w:t>
      </w:r>
    </w:p>
    <w:p w14:paraId="7981C4B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5．D</w:t>
      </w:r>
    </w:p>
    <w:p w14:paraId="097E5A50">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【详解】A、有氧呼吸的主要场所在线粒体，碎片化的线粒体无法正常进行有氧呼吸，A正确；</w:t>
      </w:r>
    </w:p>
    <w:p w14:paraId="0FBC572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B、有氧呼吸第二、三阶段发生在线粒体，线粒体数量减少使△sqr的有氧呼吸减弱，B正确；</w:t>
      </w:r>
    </w:p>
    <w:p w14:paraId="1F763F5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C、与△sqr相比，WT正常线粒体数量更多，有氧条件下，WT能获得更多的能量，生长速度比△sqr快，C正确；</w:t>
      </w:r>
    </w:p>
    <w:p w14:paraId="53C21F7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D、无氧呼吸的场所在细胞质基质，与线粒体无关，所以无氧条件下WT产生ATP的量与△sqr相同，D错误。</w:t>
      </w:r>
    </w:p>
    <w:p w14:paraId="06DC25CD">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6．A</w:t>
      </w:r>
    </w:p>
    <w:p w14:paraId="213AEFE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【详解】A、记忆是脑的高级功能，而交感神经活动占据优势，心跳加快，支气管扩张，不直接涉及记忆功能改善，A符合题意；</w:t>
      </w:r>
    </w:p>
    <w:p w14:paraId="5DDE8DC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BCD、短时记忆可能与神经元之间即时的信息交流有关，尤其是与大脑皮层下一个形状像海马的脑区有关，长时记忆可能与突触形态及功能的改变以及新突触的建立有关，BCD不符合题意。</w:t>
      </w:r>
    </w:p>
    <w:p w14:paraId="75A9BF7C">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7．C</w:t>
      </w:r>
    </w:p>
    <w:p w14:paraId="3CE9F274">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【详解】A、患者甲状腺激素分泌不足，甲状腺激素对下丘脑和垂体负反馈作用减弱，则TRH和TSH高于正常水平，而若该患者血液TSH水平低于正常，可能是垂体功能异常，A正确；</w:t>
      </w:r>
    </w:p>
    <w:p w14:paraId="42440D2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B、某患者甲状腺激素分泌不足，TSH应该高于正常；若该患者血液TSH水平高于正常，可能是甲状腺功能异常，可能是缺碘，B正确；</w:t>
      </w:r>
    </w:p>
    <w:p w14:paraId="744E7E6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C、甲状腺激素治疗只能够提高血液中甲状腺激素的含量，不可恢复患者甲状腺的分泌功能，C错误；</w:t>
      </w:r>
    </w:p>
    <w:p w14:paraId="1357842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D、采用激素治疗某患者甲状腺激素分泌不足，可检测血液中TRH、TSH等相关激素水平是否恢复到正常水平，从而评估治疗效果，D正确。</w:t>
      </w:r>
    </w:p>
    <w:p w14:paraId="517CB09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8．B</w:t>
      </w:r>
    </w:p>
    <w:p w14:paraId="030B005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【详解】A、松树释放植物信息素吸引寄生蜂，植物信息素属于化学信息，A正确；</w:t>
      </w:r>
    </w:p>
    <w:p w14:paraId="6F74E4A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B、松叶蜂幼虫攻击松树不需要凭借该信息，B错误；</w:t>
      </w:r>
    </w:p>
    <w:p w14:paraId="69B7B687">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寄生蜂将卵产入松叶蜂幼虫体内，寄生蜂卵孵化后以松叶蜂幼虫为食，从而减少松树受到攻击，松树受到松叶蜂幼虫攻击时，会释放植物信息素，吸引寄生蜂将卵产入松叶蜂幼虫体内，两者相互合作，彼此也能分开，属于原始合作关系，C正确；</w:t>
      </w:r>
    </w:p>
    <w:p w14:paraId="6166AC7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D、通过该信息的调节使得松鼠、松叶蜂、寄生蜂维持相对稳定，有利于维持松林群落的平衡与稳定，D正确。</w:t>
      </w:r>
    </w:p>
    <w:p w14:paraId="1E9C367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9．A</w:t>
      </w:r>
    </w:p>
    <w:p w14:paraId="5806DC3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【详解】根据题图可知，父亲的基因型是X</w:t>
      </w:r>
      <w:r>
        <w:rPr>
          <w:sz w:val="21"/>
          <w:vertAlign w:val="superscript"/>
        </w:rPr>
        <w:t>Xg1</w:t>
      </w:r>
      <w:r>
        <w:rPr>
          <w:sz w:val="21"/>
        </w:rPr>
        <w:t>Y，母亲的基因型是X</w:t>
      </w:r>
      <w:r>
        <w:rPr>
          <w:sz w:val="21"/>
          <w:vertAlign w:val="superscript"/>
        </w:rPr>
        <w:t>Xg2</w:t>
      </w:r>
      <w:r>
        <w:rPr>
          <w:sz w:val="21"/>
        </w:rPr>
        <w:t>X</w:t>
      </w:r>
      <w:r>
        <w:rPr>
          <w:sz w:val="21"/>
          <w:vertAlign w:val="superscript"/>
        </w:rPr>
        <w:t>Xg2</w:t>
      </w:r>
      <w:r>
        <w:rPr>
          <w:sz w:val="21"/>
        </w:rPr>
        <w:t>，患者的基因型是X</w:t>
      </w:r>
      <w:r>
        <w:rPr>
          <w:sz w:val="21"/>
          <w:vertAlign w:val="superscript"/>
        </w:rPr>
        <w:t>Xg1</w:t>
      </w:r>
      <w:r>
        <w:rPr>
          <w:sz w:val="21"/>
        </w:rPr>
        <w:t>X</w:t>
      </w:r>
      <w:r>
        <w:rPr>
          <w:sz w:val="21"/>
          <w:vertAlign w:val="superscript"/>
        </w:rPr>
        <w:t>Xg2</w:t>
      </w:r>
      <w:r>
        <w:rPr>
          <w:sz w:val="21"/>
        </w:rPr>
        <w:t>Y，故父亲产生的异常精子的基因型是X</w:t>
      </w:r>
      <w:r>
        <w:rPr>
          <w:sz w:val="21"/>
          <w:vertAlign w:val="superscript"/>
        </w:rPr>
        <w:t>Xg1</w:t>
      </w:r>
      <w:r>
        <w:rPr>
          <w:sz w:val="21"/>
        </w:rPr>
        <w:t>Y，原因是同源染色体在减数分裂Ⅰ后期没有分离，A正确。</w:t>
      </w:r>
    </w:p>
    <w:p w14:paraId="119844B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10．D</w:t>
      </w:r>
    </w:p>
    <w:p w14:paraId="1E26216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【详解】由题意可知，短暂地抑制果蝇幼虫中PcG 蛋白（具有组蛋白修饰功能）的合成，会启动原癌基因zfhl的表达，导致肿瘤形成，即基因型未发生变化而表现型却发生了改变，因此驱动此肿瘤形成的原因属于表观遗传，ABC错误、D正确。</w:t>
      </w:r>
    </w:p>
    <w:p w14:paraId="1CB08AAE">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11．C</w:t>
      </w:r>
    </w:p>
    <w:p w14:paraId="0057D8C0">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【详解】A、根据题意，EDAR 基因的一个碱基替换导致M突变为m，因此m的出现是基因突变的结果，A不符合题意；</w:t>
      </w:r>
    </w:p>
    <w:p w14:paraId="0D099799">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B、根据题意，EDAR 基因的一个碱基替换与东亚人有更多汗腺等典型体征有关，因此无法判断m是否存在于现代非洲和欧洲人群中，B不符合题意；</w:t>
      </w:r>
    </w:p>
    <w:p w14:paraId="14235183">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C、自然选择导致基因频率发生定向改变，根据题意，m的频率从末次盛冰期后开始明显升高，因此m的频率升高是末次盛冰期后环境选择的结果，C符合题意；</w:t>
      </w:r>
    </w:p>
    <w:p w14:paraId="5EFDCA10">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D、根据题意，m的频率从末次盛冰期后开始明显升高，末次盛冰期后气温逐渐升高，m基因频率升高，M基因频率降低，因此推测MM、Mm和mm个体的汗腺密度依次上升，D不符合题意。</w:t>
      </w:r>
    </w:p>
    <w:p w14:paraId="4254E3E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12．B</w:t>
      </w:r>
    </w:p>
    <w:p w14:paraId="6957165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【详解】A、亚热带常绿阔叶林中楠木幼苗距离母株越远，其密度越大，说明幼苗距离母株越远，植物母株的抑制作用越弱，A符合题意；</w:t>
      </w:r>
    </w:p>
    <w:p w14:paraId="5F099EF2">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B、鸟巢兰种子远离母株萌发时，缺少土壤共生菌，幼苗死亡，说明距离母株越远，植物母株的抑制作用越强，B不符合题意；</w:t>
      </w:r>
    </w:p>
    <w:p w14:paraId="45CD6D79">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C、中药材三七连续原地栽种，会暴发病虫害导致产量降低，说明距离越近，抑制作用越显著，C符合题意；</w:t>
      </w:r>
    </w:p>
    <w:p w14:paraId="6235C88E">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D、我国农业实践中采用的水旱轮作，可减少农药的使用量，说明水旱轮作可以抑制病虫害，D符合题意。</w:t>
      </w:r>
    </w:p>
    <w:p w14:paraId="4E240512">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13．B</w:t>
      </w:r>
    </w:p>
    <w:p w14:paraId="6E750C6C">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【详解】A、由图可知，自然保护区的物种数量最大，其次是城区和农田，故说明自然保护区的植被群落类型多样，鸟类物种丰富度高，A正确；</w:t>
      </w:r>
    </w:p>
    <w:p w14:paraId="5CB4081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B、据图仅可了解到农田和自然保护区的雀形目鸟类的物种数量，不知道农田和自然保护区可提供的资源及鸟类个体的数量等，故无法比较两生境中鸟类种间竞争的大小，B错误；</w:t>
      </w:r>
    </w:p>
    <w:p w14:paraId="44870EC7">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自然保护区鸟类物种数量明显高于农田和城区，鸟类物种丰富度高，推测原因为自然保护区的植被群落类型多样，群落的空间结构更加复杂，可为鸟类提供更多的栖息空间和食物条件，因此自然保护区鸟类比其他生境的鸟类有更宽的空间生态位，C正确；</w:t>
      </w:r>
    </w:p>
    <w:p w14:paraId="72A7E8B9">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D、农田和城市人类活动频繁，杂食性鸟类占比明显大于自然保护区，故说明人类活动产生的空白生态位有利于杂食性鸟类迁入，D正确。</w:t>
      </w:r>
    </w:p>
    <w:p w14:paraId="6C166412">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14．C</w:t>
      </w:r>
    </w:p>
    <w:p w14:paraId="4AE665F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根据绿茎株中绝大多数雄性不育，紫茎株中绝大多数雄性可育，可推测绿茎(a)和雄性不育(f)位于同一条染色体，紫茎(A)和雄性可育(F)位于同一条染色体，由子代雄性不育株中，缺刻叶：马铃薯叶≈3：1可知，缺刻叶(C)与马铃薯叶(c)位于另一对同源染色体上。因此绿茎可以作为雄性不育材料筛选的标记，A错误；</w:t>
      </w:r>
    </w:p>
    <w:p w14:paraId="11EF200E">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B、控制缺刻叶（C）、马铃薯叶（c）与控制雄性可育（F）、雄性不育（f）的两对基因位于两对同源染色体上，因此，子代雄性可育株中，缺刻叶与马铃薯叶的比例也约为3：1，B错误；</w:t>
      </w:r>
    </w:p>
    <w:p w14:paraId="278EA2F1">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C、由于基因A和基因F位于同一条染色体，基因a和基因f位于同一条染色体，子代中紫茎雄性可育株与绿茎雄性不育株的比例约为3：1，C正确；</w:t>
      </w:r>
    </w:p>
    <w:p w14:paraId="28FCE080">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D、出现等量绿茎可育株与紫茎不育株是减数第一次分裂前期同源染色体非姐妹染色单体互换的结果，D错误。</w:t>
      </w:r>
    </w:p>
    <w:p w14:paraId="0D3172D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15．B</w:t>
      </w:r>
    </w:p>
    <w:p w14:paraId="2C916550">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由表可知，Ce5具有催化纤维素类底物的活性，Ay3具有催化褐藻酸类底物的活性，Ay3与Ce5催化功能不同，Ay3-Bi-CB与Ce5-Ay3-Bi-CB相比，当缺少Ce5后，就不能催化纤维素类底物，当Ay3与Ce5同时存在时催化纤维素类底物的活性增强，所以Ay3与Ce5 可能存在相互影响，A正确；</w:t>
      </w:r>
    </w:p>
    <w:p w14:paraId="2CA2517A">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B、由表可知，不论是否与Bi结合，Ay3均可以催化S</w:t>
      </w:r>
      <w:r>
        <w:rPr>
          <w:sz w:val="21"/>
          <w:vertAlign w:val="subscript"/>
        </w:rPr>
        <w:t>1</w:t>
      </w:r>
      <w:r>
        <w:rPr>
          <w:sz w:val="21"/>
        </w:rPr>
        <w:t>与S</w:t>
      </w:r>
      <w:r>
        <w:rPr>
          <w:sz w:val="21"/>
          <w:vertAlign w:val="subscript"/>
        </w:rPr>
        <w:t>2</w:t>
      </w:r>
      <w:r>
        <w:rPr>
          <w:sz w:val="21"/>
        </w:rPr>
        <w:t>，说明Bi与Ay3的催化专一性无关，B错误；</w:t>
      </w:r>
    </w:p>
    <w:p w14:paraId="3452AC9C">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C、由表可知，Ay3-Bi-CB与Ce5-Ay3-Bi-CB相比，去除Ce5后，催化褐藻酸类底物的活性不变，说明该酶对褐藻酸类底物的催化活性与Ce5无关，C正确；</w:t>
      </w:r>
    </w:p>
    <w:p w14:paraId="4F1F927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D、需要检测Ce5-Ay3-Bi肽链的活性，才能判断该酶对纤维素类底物的催化活性是否与CB相关，D正确。</w:t>
      </w:r>
    </w:p>
    <w:p w14:paraId="57932D9D">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16．D</w:t>
      </w:r>
    </w:p>
    <w:p w14:paraId="1905EB9C">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【详解】A、触觉神经元兴奋时，会释放兴奋性神经递质作用于抑制性神经元，抑制性神经元兴奋，在抑制性神经元上可记录到动作电位，A正确；</w:t>
      </w:r>
    </w:p>
    <w:p w14:paraId="751D16FE">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B、离子通道进行的跨膜运输方式是协助扩散，故正常和患带状疱疹时，Cl</w:t>
      </w:r>
      <w:r>
        <w:rPr>
          <w:sz w:val="21"/>
          <w:vertAlign w:val="superscript"/>
        </w:rPr>
        <w:t>-</w:t>
      </w:r>
      <w:r>
        <w:rPr>
          <w:sz w:val="21"/>
        </w:rPr>
        <w:t>经Cl</w:t>
      </w:r>
      <w:r>
        <w:rPr>
          <w:sz w:val="21"/>
          <w:vertAlign w:val="superscript"/>
        </w:rPr>
        <w:t>-</w:t>
      </w:r>
      <w:r>
        <w:rPr>
          <w:sz w:val="21"/>
        </w:rPr>
        <w:t>通道的运输方式是协助扩散，B正确；</w:t>
      </w:r>
    </w:p>
    <w:p w14:paraId="6E2A927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C、GABA作用于痛觉神经元引起Cl</w:t>
      </w:r>
      <w:r>
        <w:rPr>
          <w:sz w:val="21"/>
          <w:vertAlign w:val="superscript"/>
        </w:rPr>
        <w:t>-</w:t>
      </w:r>
      <w:r>
        <w:rPr>
          <w:sz w:val="21"/>
        </w:rPr>
        <w:t>通道开放，Cl</w:t>
      </w:r>
      <w:r>
        <w:rPr>
          <w:sz w:val="21"/>
          <w:vertAlign w:val="superscript"/>
        </w:rPr>
        <w:t>-</w:t>
      </w:r>
      <w:r>
        <w:rPr>
          <w:sz w:val="21"/>
        </w:rPr>
        <w:t>内流，此时GABA作用的效果可以是抑制性的；患带状疱疹后，Cl</w:t>
      </w:r>
      <w:r>
        <w:rPr>
          <w:sz w:val="21"/>
          <w:vertAlign w:val="superscript"/>
        </w:rPr>
        <w:t>-</w:t>
      </w:r>
      <w:r>
        <w:rPr>
          <w:sz w:val="21"/>
        </w:rPr>
        <w:t>经Cl</w:t>
      </w:r>
      <w:r>
        <w:rPr>
          <w:sz w:val="21"/>
          <w:vertAlign w:val="superscript"/>
        </w:rPr>
        <w:t>-</w:t>
      </w:r>
      <w:r>
        <w:rPr>
          <w:sz w:val="21"/>
        </w:rPr>
        <w:t>通道外流，相当于形成内正外负的动作电位，此时GABA作用的效果是兴奋性的，C正确；</w:t>
      </w:r>
    </w:p>
    <w:p w14:paraId="00D7DD6C">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D、据图可知，Cl</w:t>
      </w:r>
      <w:r>
        <w:rPr>
          <w:sz w:val="21"/>
          <w:vertAlign w:val="superscript"/>
        </w:rPr>
        <w:t>-</w:t>
      </w:r>
      <w:r>
        <w:rPr>
          <w:sz w:val="21"/>
        </w:rPr>
        <w:t>转运蛋白会将Cl</w:t>
      </w:r>
      <w:r>
        <w:rPr>
          <w:sz w:val="21"/>
          <w:vertAlign w:val="superscript"/>
        </w:rPr>
        <w:t>-</w:t>
      </w:r>
      <w:r>
        <w:rPr>
          <w:sz w:val="21"/>
        </w:rPr>
        <w:t>运出痛觉神经元，患带状疱疹后痛觉神经元上Cl</w:t>
      </w:r>
      <w:r>
        <w:rPr>
          <w:sz w:val="21"/>
          <w:vertAlign w:val="superscript"/>
        </w:rPr>
        <w:t>-</w:t>
      </w:r>
      <w:r>
        <w:rPr>
          <w:sz w:val="21"/>
        </w:rPr>
        <w:t>转运蛋白（单向转运Cl</w:t>
      </w:r>
      <w:r>
        <w:rPr>
          <w:sz w:val="21"/>
          <w:vertAlign w:val="superscript"/>
        </w:rPr>
        <w:t>-</w:t>
      </w:r>
      <w:r>
        <w:rPr>
          <w:sz w:val="21"/>
        </w:rPr>
        <w:t>）表达量改变，引起Cl</w:t>
      </w:r>
      <w:r>
        <w:rPr>
          <w:sz w:val="21"/>
          <w:vertAlign w:val="superscript"/>
        </w:rPr>
        <w:t>-</w:t>
      </w:r>
      <w:r>
        <w:rPr>
          <w:sz w:val="21"/>
        </w:rPr>
        <w:t>的转运量改变，细胞内Cl</w:t>
      </w:r>
      <w:r>
        <w:rPr>
          <w:sz w:val="21"/>
          <w:vertAlign w:val="superscript"/>
        </w:rPr>
        <w:t>-</w:t>
      </w:r>
      <w:r>
        <w:rPr>
          <w:sz w:val="21"/>
        </w:rPr>
        <w:t>浓度升高，说明运出细胞的Cl</w:t>
      </w:r>
      <w:r>
        <w:rPr>
          <w:sz w:val="21"/>
          <w:vertAlign w:val="superscript"/>
        </w:rPr>
        <w:t>-</w:t>
      </w:r>
      <w:r>
        <w:rPr>
          <w:sz w:val="21"/>
        </w:rPr>
        <w:t>减少，据此推测应是转运蛋白减少所致，D错误。</w:t>
      </w:r>
    </w:p>
    <w:p w14:paraId="553A825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17．(1)     联合     该疗法既发挥了化疗药物的作用，也增加了活化的CTL数量</w:t>
      </w:r>
    </w:p>
    <w:p w14:paraId="27D2602C">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     CXCL1受体      (细胞膜)表面     杀伤肿瘤细胞</w:t>
      </w:r>
    </w:p>
    <w:p w14:paraId="10A03164">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     一     方案一的偶联物既可阻断PD-1与PD-L1 结合，恢复CTL的活性，又使化疗药物靶向肿瘤细胞</w:t>
      </w:r>
    </w:p>
    <w:p w14:paraId="7532921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【详解】（1）由图a可知，联合疗法肿瘤体积最小，再根据图b可知，采用联合疗法时活化的CTL的数目明显高于免疫检查点疗法和化疗等，原因是该疗法既发挥了化疗药物的作用，也增加了活化的CTL数量。</w:t>
      </w:r>
    </w:p>
    <w:p w14:paraId="74CD5EF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由于黑色素瘤细胞能分泌吸引某类细胞靠近的细胞因子CXCL1，故要进一步提高治疗效果，可以在CTL中导入细胞因子CXCL1受体基因，使CTL表达出细胞因子CXCL1受体，达到治疗的效果。由于细胞因子是一类肽类化合物，故该基因的表达产物应定位于CTL的细胞膜上，且基因导入后不影响CTL杀伤肿瘤细胞的能力。</w:t>
      </w:r>
    </w:p>
    <w:p w14:paraId="42962D3D">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（3）某肿瘤细胞表面的PD-L1与细胞毒性T细胞（CTL）表面的PD-1结合能抑制CTL的免疫活性，故应该将化疗药物与PD-L1 单克隆抗体结合在一起，即方案一的偶联物既可阻断PD-1与PD-L1 结合，恢复CTL的活性，又使化疗药物靶向肿瘤细胞。</w:t>
      </w:r>
    </w:p>
    <w:p w14:paraId="297279C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18．(1)     常染色体显性遗传病     （1+p）/2</w:t>
      </w:r>
    </w:p>
    <w:p w14:paraId="22F8EBD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     将正常细胞分为甲乙两组，其中甲组敲除ZNF862基因，观察甲乙两组细胞表型从而探究该基因的功能     转基因小鼠和正常小鼠牙龈</w:t>
      </w:r>
    </w:p>
    <w:p w14:paraId="78AE4F27">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b/>
          <w:sz w:val="21"/>
        </w:rPr>
      </w:pPr>
      <w:r>
        <w:rPr>
          <w:sz w:val="21"/>
        </w:rPr>
        <w:t>(3)不可以，违反法律和伦理，且存在安全隐患。</w:t>
      </w:r>
    </w:p>
    <w:p w14:paraId="79F102C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【详解】（1）由图可知，该病男女患者数量相当，且代代遗传，因此该病最可能的遗传方式为常染色体显性遗传病；假设该病由基因A/a控制，则致病基因A的基因频率为p，正常基因a的基因频率为1-p，Ⅳ</w:t>
      </w:r>
      <w:r>
        <w:rPr>
          <w:sz w:val="21"/>
          <w:vertAlign w:val="subscript"/>
        </w:rPr>
        <w:t>2</w:t>
      </w:r>
      <w:r>
        <w:rPr>
          <w:sz w:val="21"/>
        </w:rPr>
        <w:t>的基因型为Aa，产生配子基因型为1/2A和1/2a，正常人中基因型为AA的概率为p</w:t>
      </w:r>
      <w:r>
        <w:rPr>
          <w:sz w:val="21"/>
          <w:vertAlign w:val="superscript"/>
        </w:rPr>
        <w:t>2</w:t>
      </w:r>
      <w:r>
        <w:rPr>
          <w:sz w:val="21"/>
        </w:rPr>
        <w:t>，基因型为Aa的概率为2p（1-p），基因型为aa的概率为（1-p）</w:t>
      </w:r>
      <w:r>
        <w:rPr>
          <w:sz w:val="21"/>
          <w:vertAlign w:val="superscript"/>
        </w:rPr>
        <w:t>2</w:t>
      </w:r>
      <w:r>
        <w:rPr>
          <w:sz w:val="21"/>
        </w:rPr>
        <w:t>，Ⅳ</w:t>
      </w:r>
      <w:r>
        <w:rPr>
          <w:sz w:val="21"/>
          <w:vertAlign w:val="subscript"/>
        </w:rPr>
        <w:t>2</w:t>
      </w:r>
      <w:r>
        <w:rPr>
          <w:sz w:val="21"/>
        </w:rPr>
        <w:t>与AA生育患病子代的概率为p</w:t>
      </w:r>
      <w:r>
        <w:rPr>
          <w:sz w:val="21"/>
          <w:vertAlign w:val="superscript"/>
        </w:rPr>
        <w:t>2</w:t>
      </w:r>
      <w:r>
        <w:rPr>
          <w:sz w:val="21"/>
        </w:rPr>
        <w:t>，与Aa生育患病子代的概率为2p(1-p)×3/4，与aa生育患病子代的概率为（1-p）</w:t>
      </w:r>
      <w:r>
        <w:rPr>
          <w:sz w:val="21"/>
          <w:vertAlign w:val="superscript"/>
        </w:rPr>
        <w:t>2</w:t>
      </w:r>
      <w:r>
        <w:rPr>
          <w:sz w:val="21"/>
        </w:rPr>
        <w:t>×1/2，故Ⅳ</w:t>
      </w:r>
      <w:r>
        <w:rPr>
          <w:sz w:val="21"/>
          <w:vertAlign w:val="subscript"/>
        </w:rPr>
        <w:t>2</w:t>
      </w:r>
      <w:r>
        <w:rPr>
          <w:sz w:val="21"/>
        </w:rPr>
        <w:t>生育一个患病子代的概率为p</w:t>
      </w:r>
      <w:r>
        <w:rPr>
          <w:sz w:val="21"/>
          <w:vertAlign w:val="superscript"/>
        </w:rPr>
        <w:t>2</w:t>
      </w:r>
      <w:r>
        <w:rPr>
          <w:sz w:val="21"/>
        </w:rPr>
        <w:t>+2p(1-p)×3/4+（1-p）</w:t>
      </w:r>
      <w:r>
        <w:rPr>
          <w:sz w:val="21"/>
          <w:vertAlign w:val="superscript"/>
        </w:rPr>
        <w:t>2</w:t>
      </w:r>
      <w:r>
        <w:rPr>
          <w:sz w:val="21"/>
        </w:rPr>
        <w:t>×1/2=（1+p）/2。（因IV2的基因型为Aa，其遗传A给后代的概率是1/2，此时无论父方如何，子代一定患病，故概率为1/2×1；其遗传a给后代的概率是1/2，在这种情形下，父方遗传A给后代，子代才患病，而其概率就等于A的基因频率即p，故子代患病概率为1/2*p；综上，子代患病概率为1/2+p/2=(1+p)/2。）</w:t>
      </w:r>
    </w:p>
    <w:p w14:paraId="5D966C54">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从细胞水平分析，培养该细胞，敲除ZNF862基因，观察细胞表型等变化，通过比较含有该基因时的细胞表型从而探究该基因的功能，设计思路为：将正常细胞分为甲乙两组，其中甲组敲除ZNF862基因，观察甲乙两组细胞表型从而探究该基因的功能；从个体水平分析，通过比较转基因小鼠和正常小鼠牙龈差异可得出该基因的功能。</w:t>
      </w:r>
    </w:p>
    <w:p w14:paraId="4B6AC8B9">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（3）一般不通过对人类生殖细胞或胚胎进行基因组编辑来防治遗传，该方式违反法律和伦理，且存在安全隐患。</w:t>
      </w:r>
    </w:p>
    <w:p w14:paraId="2A9B164D">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19．(1)生长素</w:t>
      </w:r>
    </w:p>
    <w:p w14:paraId="5B531D22">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     生长素合成     生长素运输/转运     生长素受体     作为实验组， 探究试剂A和(或) NAA对水稻根长的影响 ；作为乙烯处理的对照组</w:t>
      </w:r>
    </w:p>
    <w:p w14:paraId="2EF08472">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(3)生长素信号转导（或生长素受体功能）</w:t>
      </w:r>
    </w:p>
    <w:p w14:paraId="2E0225D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1）由实验一结果分析，加入K试剂不加NAA组与加入K试剂和NAA组对比可发现，同时加入K试剂和NAA，乙烯可以抑制WT根伸长，由题干信息K试剂抑制激素X的合成，可推测NAA的作用效果和激素X类似，NAA是生长素类似物，所以推测激素X为生长素。</w:t>
      </w:r>
    </w:p>
    <w:p w14:paraId="7075363E">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（2）①实验二的因变量是激素X含量，所以实验二的目的是检测m2的突变基因是否与生长素合成有关。</w:t>
      </w:r>
    </w:p>
    <w:p w14:paraId="77BB0094">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②实验三野生型幼苗在乙烯、NAA+乙烯作用下根伸长均受抑制，而突变体m2幼苗在乙烯、NAA+乙烯作用下根长均正常，由实验二结果可知，野生型和突变体m2生长素含量大致一样，NAA可自由扩散进入细胞，分子结构与生长素完全不同，但具有与生长素类似的生理效应，则初步判断乙烯抑制根伸长与生长素受体有关。若要进一步验证该结论并检验 m2 的突变基因是否与此有关，可检测生长素受体基因的表达情况。</w:t>
      </w:r>
    </w:p>
    <w:p w14:paraId="1557350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③★所示组和其他空气处理组对比，可作为实验组探究试剂A和(或) NAA对水稻根长的影响。同时可作为作为乙烯处理的对照组。</w:t>
      </w:r>
    </w:p>
    <w:p w14:paraId="5D2BFE89">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根据实验四，野生型在乙烯存在的条件下，加入抑制激素X受体的A试剂，可很大程度上解除乙烯的抑制作用，综合（3）结果，推测乙烯对水稻幼苗根伸长的抑制可能是通过影响生长素信号转导（或生长素受体功能）实现的。</w:t>
      </w:r>
    </w:p>
    <w:p w14:paraId="34C90702">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20．(1)呼吸作用消耗</w:t>
      </w:r>
    </w:p>
    <w:p w14:paraId="443D9F02">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     ③②①     最大光合速率对应光强度依次升高</w:t>
      </w:r>
    </w:p>
    <w:p w14:paraId="659306E2">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(3)①(金鱼藻)除藻率高，②(黑藻)除氮率高，③(苦草)除磷高</w:t>
      </w:r>
    </w:p>
    <w:p w14:paraId="34B73C8C">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     金鱼藻     500     二氧化碳浓度较低且相同     氧气释放量</w:t>
      </w:r>
    </w:p>
    <w:p w14:paraId="0D2ADE70">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(5)合理引入浮水植物，减弱沉水植物的光照强度；合理引入以沉水植物凋落叶片为食物的生物</w:t>
      </w:r>
    </w:p>
    <w:p w14:paraId="51253387">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【详解】（1）由于湖底光照不足，导致原有沉水植物因光合作用合成的有机物少于细胞呼吸消耗的有机物，生物量在减少，不足以维持生长，最终衰退和消亡。</w:t>
      </w:r>
    </w:p>
    <w:p w14:paraId="1B84FE8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（2）据图分析，最大光合速率对应光强度依次升高，因此生态恢复后，该湖泊形成了以上述3种草本沉水植物为优势的群落垂直结构，从湖底到水面依次是③②①。</w:t>
      </w:r>
    </w:p>
    <w:p w14:paraId="62E9CB2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（3）据图b分析，金鱼藻除藻率高，黑藻除氮率高，苦草除磷率高，三者配合能高效的去除氮、磷和藻，能实现综合治理效果。</w:t>
      </w:r>
    </w:p>
    <w:p w14:paraId="4E8F95C9">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根据图a，在相同光照强度下，①金鱼藻与②黑藻的光合作用强度高度接近，尤其在光照强度为500时，两者光合作用强度完全相同，有利于控制无关变量一致，而③苦草的光照强度与②黑藻相差较大。根据题干“上述3种草本沉水植物中只有黑藻具有C4光合作用途径”可知①、③均无C4途径，而除了上述3种草本沉水植物外的其他植物是否有C4途径不确定，所以不能从①、③外的其他植物为②选对照组。</w:t>
      </w:r>
    </w:p>
    <w:p w14:paraId="4E7DDCC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验证黑藻的碳浓缩优势，因此控制条件为低二氧化碳浓度。因变量是光合速率的快慢，因此检测指标是单位时间释放氧气的量。</w:t>
      </w:r>
    </w:p>
    <w:p w14:paraId="5A97626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5）目前的两个实际问题是湖边浅水区种植的沉水植物因强光抑制造成生长不良，大量沉水植物叶片凋落，需及时打捞，增加维护成本，因此可以合理引入浮水植物，减弱沉水植物的光照强度；合理引入以沉水植物凋落叶片为食物的生物。</w:t>
      </w:r>
    </w:p>
    <w:p w14:paraId="1889EC88">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21．(1)碳源、氮源、无机盐</w:t>
      </w:r>
    </w:p>
    <w:p w14:paraId="1B7EFD70">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     PT7、PBAD 和PBAD     启动子②和③选用 PBAD可以使工程菌无论有、无蓝光 照射都可表达无活性的T7RNAP，在蓝光照射后，无活性的 T7RNAP 转变为有活性的T7RNAP，与特异性启动子P</w:t>
      </w:r>
      <w:r>
        <w:rPr>
          <w:sz w:val="21"/>
          <w:vertAlign w:val="subscript"/>
        </w:rPr>
        <w:t>7</w:t>
      </w:r>
      <w:r>
        <w:rPr>
          <w:sz w:val="21"/>
        </w:rPr>
        <w:t>识别结合并转录基因1，即可用蓝光控制酪氨酸酶的表达</w:t>
      </w:r>
    </w:p>
    <w:p w14:paraId="07DE84A6">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(3)杀死不含光控表达载体的杂菌，避免杂菌污染；筛选出含光控表达载体的工程菌</w:t>
      </w:r>
    </w:p>
    <w:p w14:paraId="12E0F19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(4)蓝光诱导酪氨酸酶基因的表达，酪氨酸酶催化酪氨酸转化为黑色素，蓝光照射不到的部位酪氨酸酶不表达</w:t>
      </w:r>
    </w:p>
    <w:p w14:paraId="7DB26E95">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(5)将酪氨酸酶替换成催化其他色素合成的酶(或将酪氨酸酶替换成不同颜色蛋白)</w:t>
      </w:r>
    </w:p>
    <w:p w14:paraId="72C4FF4E">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【详解】（1）培养基的营养物质包括水、无机盐、碳源、氮源等，研究者培养工程菌，需要优化培养基的碳源、氮源等营养条件，并控制环境条件。</w:t>
      </w:r>
    </w:p>
    <w:p w14:paraId="72CC7400">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（2）题图二a分析可知，蓝光照射下，T7RNAP N端-nMag与T7RNAP C端结合，导致无活性的T7RNAP变成有活性的T7RNAP，结合图一，蓝光处理后，RNA聚合酶（T7RNAP）识别启动子①使基因1转录获得相应的mRNA，再以其为模板通过翻译过程获得酪氨酸酶，酪氨酸酶从而催化染色液中酪氨酸形成黑色素，可见基因2和3正常表达无活性产物，被蓝光激活后再启动基因1表达，综合上述分析可知，为实现蓝光控制染色，启动子①②及③依次为PT7、PBAD 和PBAD。</w:t>
      </w:r>
    </w:p>
    <w:p w14:paraId="72C2EAA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（3）光控表达载体携带大观霉素（抗生素）抗性基因。长时间培养时在培养液中加入大观霉素，可杀死不含光控表达载体的杂菌，避免杂菌污染；筛选出含光控表达载体的工程菌。</w:t>
      </w:r>
    </w:p>
    <w:p w14:paraId="339E8F7F">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4）由小问2分析可知，细胞中T7RNAP激活，酪氨酸酶表达并合成黑色素，故用蓝光照射已长出的BC菌膜并继续培养一段时间，随后将其转至染色池处理，发现只有经蓝光照射的区域被染成黑色。蓝光照射不到的部位酪氨酸酶不表达。</w:t>
      </w:r>
    </w:p>
    <w:p w14:paraId="7B93B084">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r>
        <w:rPr>
          <w:sz w:val="21"/>
        </w:rPr>
        <w:t>（5）由小问2分析可知，题干信息的设计思路最终BC膜被染成黑色，希望生产其他颜色图案的BC膜，则需要将酪氨酸酶替换成催化其他色素合成的酶(或将酪氨酸酶替换成不同颜色蛋白)。</w:t>
      </w:r>
    </w:p>
    <w:p w14:paraId="2111EF2B">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sz w:val="21"/>
        </w:rPr>
      </w:pPr>
    </w:p>
    <w:sectPr>
      <w:headerReference r:id="rId5" w:type="default"/>
      <w:footerReference r:id="rId7" w:type="default"/>
      <w:headerReference r:id="rId6" w:type="even"/>
      <w:footerReference r:id="rId8" w:type="even"/>
      <w:pgSz w:w="11907" w:h="16839"/>
      <w:pgMar w:top="1440" w:right="1800" w:bottom="1440" w:left="1800" w:header="851" w:footer="425"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F2787D">
    <w:pPr>
      <w:pStyle w:val="2"/>
      <w:ind w:firstLine="1620" w:firstLineChars="900"/>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82C4853">
                          <w:pPr>
                            <w:pStyle w:val="2"/>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282C4853">
                    <w:pPr>
                      <w:pStyle w:val="2"/>
                    </w:pPr>
                  </w:p>
                </w:txbxContent>
              </v:textbox>
            </v:shape>
          </w:pict>
        </mc:Fallback>
      </mc:AlternateContent>
    </w:r>
    <w:r>
      <w:rPr>
        <w:rFonts w:hint="eastAsia"/>
        <w:lang w:val="en-US" w:eastAsia="zh-CN"/>
      </w:rPr>
      <w:t>暑假生物综合练习卷一</w:t>
    </w:r>
    <w:r>
      <w:rPr>
        <w:rFonts w:hint="eastAsia"/>
      </w:rPr>
      <w:t>第</w:t>
    </w:r>
    <w:r>
      <w:fldChar w:fldCharType="begin"/>
    </w:r>
    <w:r>
      <w:instrText xml:space="preserve"> =</w:instrText>
    </w:r>
    <w:r>
      <w:fldChar w:fldCharType="begin"/>
    </w:r>
    <w:r>
      <w:instrText xml:space="preserve">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3</w:instrText>
    </w:r>
    <w:r>
      <w:fldChar w:fldCharType="end"/>
    </w:r>
    <w:r>
      <w:instrText xml:space="preserve"> </w:instrText>
    </w:r>
    <w:r>
      <w:fldChar w:fldCharType="separate"/>
    </w:r>
    <w:r>
      <w:t>3</w:t>
    </w:r>
    <w:r>
      <w:fldChar w:fldCharType="end"/>
    </w:r>
    <w:r>
      <w:rPr>
        <w:rFonts w:hint="eastAsia"/>
      </w:rPr>
      <w:t>页</w:t>
    </w:r>
  </w:p>
  <w:p w14:paraId="2CFF2220">
    <w:pPr>
      <w:pStyle w:val="2"/>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49DE83">
    <w:pPr>
      <w:pStyle w:val="2"/>
      <w:ind w:firstLine="1620" w:firstLineChars="900"/>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A4CFF33">
                          <w:pPr>
                            <w:pStyle w:val="2"/>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v:fill on="f" focussize="0,0"/>
              <v:stroke on="f" weight="0.5pt"/>
              <v:imagedata o:title=""/>
              <o:lock v:ext="edit" aspectratio="f"/>
              <v:textbox inset="0mm,0mm,0mm,0mm" style="mso-fit-shape-to-text:t;">
                <w:txbxContent>
                  <w:p w14:paraId="7A4CFF33">
                    <w:pPr>
                      <w:pStyle w:val="2"/>
                    </w:pPr>
                  </w:p>
                </w:txbxContent>
              </v:textbox>
            </v:shape>
          </w:pict>
        </mc:Fallback>
      </mc:AlternateContent>
    </w:r>
    <w:r>
      <w:rPr>
        <w:rFonts w:hint="eastAsia"/>
        <w:lang w:val="en-US" w:eastAsia="zh-CN"/>
      </w:rPr>
      <w:t>暑假生物综合练习卷一</w:t>
    </w:r>
    <w:r>
      <w:rPr>
        <w:rFonts w:hint="eastAsia"/>
      </w:rPr>
      <w:t>第</w:t>
    </w:r>
    <w:r>
      <w:fldChar w:fldCharType="begin"/>
    </w:r>
    <w:r>
      <w:instrText xml:space="preserve"> =</w:instrText>
    </w:r>
    <w:r>
      <w:fldChar w:fldCharType="begin"/>
    </w:r>
    <w:r>
      <w:instrText xml:space="preserve">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3</w:instrText>
    </w:r>
    <w:r>
      <w:fldChar w:fldCharType="end"/>
    </w:r>
    <w:r>
      <w:instrText xml:space="preserve"> </w:instrText>
    </w:r>
    <w:r>
      <w:fldChar w:fldCharType="separate"/>
    </w:r>
    <w:r>
      <w:t>3</w:t>
    </w:r>
    <w:r>
      <w:fldChar w:fldCharType="end"/>
    </w:r>
    <w:r>
      <w:rPr>
        <w:rFonts w:hint="eastAsia"/>
      </w:rPr>
      <w:t>页</w:t>
    </w:r>
  </w:p>
  <w:p w14:paraId="7292B911">
    <w:pPr>
      <w:pStyle w:val="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EA3F03">
    <w:pPr>
      <w:pStyle w:val="2"/>
      <w:ind w:firstLine="900" w:firstLineChars="500"/>
      <w:rPr>
        <w:rFonts w:hint="default"/>
        <w:lang w:val="en-US"/>
      </w:rP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CECBC5B">
                          <w:pPr>
                            <w:pStyle w:val="2"/>
                          </w:pPr>
                          <w:r>
                            <w:t xml:space="preserve">第 </w:t>
                          </w:r>
                          <w:r>
                            <w:fldChar w:fldCharType="begin"/>
                          </w:r>
                          <w:r>
                            <w:instrText xml:space="preserve"> PAGE  \* MERGEFORMAT </w:instrText>
                          </w:r>
                          <w:r>
                            <w:fldChar w:fldCharType="separate"/>
                          </w:r>
                          <w:r>
                            <w:t>1</w:t>
                          </w:r>
                          <w:r>
                            <w:fldChar w:fldCharType="end"/>
                          </w:r>
                          <w:r>
                            <w:t xml:space="preserve"> 页 共</w:t>
                          </w:r>
                          <w:r>
                            <w:rPr>
                              <w:rFonts w:hint="eastAsia"/>
                              <w:lang w:val="en-US" w:eastAsia="zh-CN"/>
                            </w:rPr>
                            <w:t>6</w:t>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v:fill on="f" focussize="0,0"/>
              <v:stroke on="f" weight="0.5pt"/>
              <v:imagedata o:title=""/>
              <o:lock v:ext="edit" aspectratio="f"/>
              <v:textbox inset="0mm,0mm,0mm,0mm" style="mso-fit-shape-to-text:t;">
                <w:txbxContent>
                  <w:p w14:paraId="5CECBC5B">
                    <w:pPr>
                      <w:pStyle w:val="2"/>
                    </w:pPr>
                    <w:r>
                      <w:t xml:space="preserve">第 </w:t>
                    </w:r>
                    <w:r>
                      <w:fldChar w:fldCharType="begin"/>
                    </w:r>
                    <w:r>
                      <w:instrText xml:space="preserve"> PAGE  \* MERGEFORMAT </w:instrText>
                    </w:r>
                    <w:r>
                      <w:fldChar w:fldCharType="separate"/>
                    </w:r>
                    <w:r>
                      <w:t>1</w:t>
                    </w:r>
                    <w:r>
                      <w:fldChar w:fldCharType="end"/>
                    </w:r>
                    <w:r>
                      <w:t xml:space="preserve"> 页 共</w:t>
                    </w:r>
                    <w:r>
                      <w:rPr>
                        <w:rFonts w:hint="eastAsia"/>
                        <w:lang w:val="en-US" w:eastAsia="zh-CN"/>
                      </w:rPr>
                      <w:t>6</w:t>
                    </w:r>
                    <w:r>
                      <w:t xml:space="preserve"> 页</w:t>
                    </w:r>
                  </w:p>
                </w:txbxContent>
              </v:textbox>
            </v:shape>
          </w:pict>
        </mc:Fallback>
      </mc:AlternateContent>
    </w:r>
    <w:r>
      <w:rPr>
        <w:rFonts w:hint="eastAsia"/>
        <w:lang w:val="en-US" w:eastAsia="zh-CN"/>
      </w:rPr>
      <w:t>暑假生物综合练习卷一参考答案</w:t>
    </w:r>
  </w:p>
  <w:p w14:paraId="65DC9FD6">
    <w:pPr>
      <w:pStyle w:val="2"/>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F16A98">
    <w:pPr>
      <w:pStyle w:val="2"/>
      <w:ind w:firstLine="900" w:firstLineChars="500"/>
      <w:rPr>
        <w:rFonts w:hint="default"/>
        <w:lang w:val="en-US"/>
      </w:rP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66CF6B1">
                          <w:pPr>
                            <w:pStyle w:val="2"/>
                          </w:pPr>
                          <w:r>
                            <w:t xml:space="preserve">第 </w:t>
                          </w:r>
                          <w:r>
                            <w:fldChar w:fldCharType="begin"/>
                          </w:r>
                          <w:r>
                            <w:instrText xml:space="preserve"> PAGE  \* MERGEFORMAT </w:instrText>
                          </w:r>
                          <w:r>
                            <w:fldChar w:fldCharType="separate"/>
                          </w:r>
                          <w:r>
                            <w:t>1</w:t>
                          </w:r>
                          <w:r>
                            <w:fldChar w:fldCharType="end"/>
                          </w:r>
                          <w:r>
                            <w:t xml:space="preserve"> 页 共</w:t>
                          </w:r>
                          <w:r>
                            <w:rPr>
                              <w:rFonts w:hint="eastAsia"/>
                              <w:lang w:val="en-US" w:eastAsia="zh-CN"/>
                            </w:rPr>
                            <w:t>6</w:t>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566CF6B1">
                    <w:pPr>
                      <w:pStyle w:val="2"/>
                    </w:pPr>
                    <w:r>
                      <w:t xml:space="preserve">第 </w:t>
                    </w:r>
                    <w:r>
                      <w:fldChar w:fldCharType="begin"/>
                    </w:r>
                    <w:r>
                      <w:instrText xml:space="preserve"> PAGE  \* MERGEFORMAT </w:instrText>
                    </w:r>
                    <w:r>
                      <w:fldChar w:fldCharType="separate"/>
                    </w:r>
                    <w:r>
                      <w:t>1</w:t>
                    </w:r>
                    <w:r>
                      <w:fldChar w:fldCharType="end"/>
                    </w:r>
                    <w:r>
                      <w:t xml:space="preserve"> 页 共</w:t>
                    </w:r>
                    <w:r>
                      <w:rPr>
                        <w:rFonts w:hint="eastAsia"/>
                        <w:lang w:val="en-US" w:eastAsia="zh-CN"/>
                      </w:rPr>
                      <w:t>6</w:t>
                    </w:r>
                    <w:r>
                      <w:t xml:space="preserve"> 页</w:t>
                    </w:r>
                  </w:p>
                </w:txbxContent>
              </v:textbox>
            </v:shape>
          </w:pict>
        </mc:Fallback>
      </mc:AlternateContent>
    </w:r>
    <w:r>
      <w:rPr>
        <w:rFonts w:hint="eastAsia"/>
        <w:lang w:val="en-US" w:eastAsia="zh-CN"/>
      </w:rPr>
      <w:t>暑假生物综合练习卷一参考答案</w:t>
    </w:r>
  </w:p>
  <w:p w14:paraId="12571C0B">
    <w:pPr>
      <w:pStyle w:val="2"/>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8D6572"/>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2708E3"/>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3"/>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232A6"/>
    <w:rsid w:val="00043B54"/>
    <w:rsid w:val="00065CD2"/>
    <w:rsid w:val="001D7A06"/>
    <w:rsid w:val="00284433"/>
    <w:rsid w:val="002A1EC6"/>
    <w:rsid w:val="002E035E"/>
    <w:rsid w:val="003F38F2"/>
    <w:rsid w:val="004E46D8"/>
    <w:rsid w:val="00537201"/>
    <w:rsid w:val="0064153B"/>
    <w:rsid w:val="006A4C40"/>
    <w:rsid w:val="006B16C5"/>
    <w:rsid w:val="00776133"/>
    <w:rsid w:val="00811C76"/>
    <w:rsid w:val="00855687"/>
    <w:rsid w:val="008C07DE"/>
    <w:rsid w:val="009E611B"/>
    <w:rsid w:val="00A30CCE"/>
    <w:rsid w:val="00AC3E9C"/>
    <w:rsid w:val="00BC2225"/>
    <w:rsid w:val="00BC4F14"/>
    <w:rsid w:val="00BC62FB"/>
    <w:rsid w:val="00BF535F"/>
    <w:rsid w:val="00C806B0"/>
    <w:rsid w:val="00E476EE"/>
    <w:rsid w:val="00EF035E"/>
    <w:rsid w:val="00F16B29"/>
    <w:rsid w:val="00FA429B"/>
    <w:rsid w:val="1A973D5A"/>
    <w:rsid w:val="2697085D"/>
    <w:rsid w:val="2D55028C"/>
    <w:rsid w:val="3D673DE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link w:val="7"/>
    <w:unhideWhenUsed/>
    <w:qFormat/>
    <w:uiPriority w:val="99"/>
    <w:pPr>
      <w:tabs>
        <w:tab w:val="center" w:pos="4153"/>
        <w:tab w:val="right" w:pos="8306"/>
      </w:tabs>
      <w:snapToGrid w:val="0"/>
      <w:jc w:val="left"/>
    </w:pPr>
    <w:rPr>
      <w:sz w:val="18"/>
      <w:szCs w:val="18"/>
    </w:rPr>
  </w:style>
  <w:style w:type="paragraph" w:styleId="3">
    <w:name w:val="header"/>
    <w:basedOn w:val="1"/>
    <w:link w:val="6"/>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Char"/>
    <w:basedOn w:val="5"/>
    <w:link w:val="3"/>
    <w:qFormat/>
    <w:uiPriority w:val="99"/>
    <w:rPr>
      <w:sz w:val="18"/>
      <w:szCs w:val="18"/>
    </w:rPr>
  </w:style>
  <w:style w:type="character" w:customStyle="1" w:styleId="7">
    <w:name w:val="页脚 Char"/>
    <w:basedOn w:val="5"/>
    <w:link w:val="2"/>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footer" Target="footer2.xml"/><Relationship Id="rId3" Type="http://schemas.openxmlformats.org/officeDocument/2006/relationships/footer" Target="footer1.xml"/><Relationship Id="rId23" Type="http://schemas.openxmlformats.org/officeDocument/2006/relationships/fontTable" Target="fontTable.xml"/><Relationship Id="rId22" Type="http://schemas.openxmlformats.org/officeDocument/2006/relationships/customXml" Target="../customXml/item2.xml"/><Relationship Id="rId21" Type="http://schemas.openxmlformats.org/officeDocument/2006/relationships/customXml" Target="../customXml/item1.xml"/><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FBD8B74-E658-41D0-A583-9C5836944D7F}">
  <ds:schemaRefs/>
</ds:datastoreItem>
</file>

<file path=docProps/app.xml><?xml version="1.0" encoding="utf-8"?>
<Properties xmlns="http://schemas.openxmlformats.org/officeDocument/2006/extended-properties" xmlns:vt="http://schemas.openxmlformats.org/officeDocument/2006/docPropsVTypes">
  <Template>Normal.dotm</Template>
  <Pages>14</Pages>
  <Words>3846</Words>
  <Characters>4300</Characters>
  <Lines>0</Lines>
  <Paragraphs>0</Paragraphs>
  <TotalTime>1</TotalTime>
  <ScaleCrop>false</ScaleCrop>
  <LinksUpToDate>false</LinksUpToDate>
  <CharactersWithSpaces>4353</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creator>组卷网zujuan.xkw.com</dc:creator>
  <cp:lastModifiedBy>虾米</cp:lastModifiedBy>
  <dcterms:modified xsi:type="dcterms:W3CDTF">2026-06-27T01:06:57Z</dcterms:modified>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eprocessed">
    <vt:lpwstr>1</vt:lpwstr>
  </property>
  <property fmtid="{D5CDD505-2E9C-101B-9397-08002B2CF9AE}" pid="3" name="version">
    <vt:lpwstr>aad6b74e4c9f4856a0f4119a6d569086mta0nta4otc5mq</vt:lpwstr>
  </property>
  <property fmtid="{D5CDD505-2E9C-101B-9397-08002B2CF9AE}" pid="4" name="KSOTemplateDocerSaveRecord">
    <vt:lpwstr>eyJoZGlkIjoiYmEyZDMxNWRkYmY5MjE3NjUxYTk3ZDA1NDUyNmVkYWEiLCJ1c2VySWQiOiI3NjczNDAyODEifQ==</vt:lpwstr>
  </property>
  <property fmtid="{D5CDD505-2E9C-101B-9397-08002B2CF9AE}" pid="5" name="KSOProductBuildVer">
    <vt:lpwstr>2052-12.1.0.26895</vt:lpwstr>
  </property>
  <property fmtid="{D5CDD505-2E9C-101B-9397-08002B2CF9AE}" pid="6" name="ICV">
    <vt:lpwstr>803F556C69424291AD20C212392F1619_13</vt:lpwstr>
  </property>
</Properties>
</file>