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209FE4">
      <w:pPr>
        <w:spacing w:line="360" w:lineRule="auto"/>
        <w:jc w:val="center"/>
        <w:textAlignment w:val="center"/>
        <w:rPr>
          <w:rFonts w:hint="eastAsia" w:ascii="宋体" w:hAnsi="宋体" w:cs="宋体"/>
          <w:b/>
          <w:color w:val="auto"/>
          <w:sz w:val="36"/>
          <w:szCs w:val="36"/>
          <w:lang w:val="en-US" w:eastAsia="zh-CN"/>
        </w:rPr>
      </w:pPr>
      <w:r>
        <w:rPr>
          <w:rFonts w:hint="eastAsia" w:ascii="宋体" w:hAnsi="宋体" w:cs="宋体"/>
          <w:b/>
          <w:color w:val="auto"/>
          <w:sz w:val="36"/>
          <w:szCs w:val="36"/>
          <w:lang w:val="en-US" w:eastAsia="zh-CN"/>
        </w:rPr>
        <w:t>深圳外国语学校高中部2027届暑假生物综合</w:t>
      </w:r>
    </w:p>
    <w:p w14:paraId="022910F2">
      <w:pPr>
        <w:spacing w:line="360" w:lineRule="auto"/>
        <w:jc w:val="center"/>
        <w:textAlignment w:val="center"/>
        <w:rPr>
          <w:rFonts w:hint="default" w:ascii="宋体" w:hAnsi="宋体" w:eastAsia="宋体" w:cs="宋体"/>
          <w:b/>
          <w:color w:val="auto"/>
          <w:sz w:val="36"/>
          <w:szCs w:val="36"/>
          <w:lang w:val="en-US" w:eastAsia="zh-CN"/>
        </w:rPr>
      </w:pPr>
      <w:r>
        <w:rPr>
          <w:rFonts w:hint="eastAsia" w:ascii="宋体" w:hAnsi="宋体" w:cs="宋体"/>
          <w:b/>
          <w:color w:val="auto"/>
          <w:sz w:val="36"/>
          <w:szCs w:val="36"/>
          <w:lang w:val="en-US" w:eastAsia="zh-CN"/>
        </w:rPr>
        <w:t>练习卷（四）</w:t>
      </w:r>
    </w:p>
    <w:p w14:paraId="633C9DCC">
      <w:pPr>
        <w:spacing w:line="360" w:lineRule="auto"/>
        <w:jc w:val="center"/>
        <w:textAlignment w:val="center"/>
      </w:pPr>
      <w:r>
        <w:rPr>
          <w:rFonts w:ascii="宋体" w:hAnsi="宋体" w:eastAsia="宋体" w:cs="宋体"/>
          <w:b/>
          <w:color w:val="auto"/>
          <w:sz w:val="24"/>
        </w:rPr>
        <w:t>本试卷共</w:t>
      </w:r>
      <w:r>
        <w:rPr>
          <w:rFonts w:hint="eastAsia" w:cs="Times New Roman"/>
          <w:b/>
          <w:color w:val="auto"/>
          <w:sz w:val="24"/>
          <w:lang w:val="en-US" w:eastAsia="zh-CN"/>
        </w:rPr>
        <w:t>7</w:t>
      </w:r>
      <w:r>
        <w:rPr>
          <w:rFonts w:ascii="宋体" w:hAnsi="宋体" w:eastAsia="宋体" w:cs="宋体"/>
          <w:b/>
          <w:color w:val="auto"/>
          <w:sz w:val="24"/>
        </w:rPr>
        <w:t>页，</w:t>
      </w:r>
      <w:r>
        <w:rPr>
          <w:rFonts w:ascii="Times New Roman" w:hAnsi="Times New Roman" w:eastAsia="Times New Roman" w:cs="Times New Roman"/>
          <w:b/>
          <w:color w:val="auto"/>
          <w:sz w:val="24"/>
        </w:rPr>
        <w:t>100</w:t>
      </w:r>
      <w:r>
        <w:rPr>
          <w:rFonts w:ascii="宋体" w:hAnsi="宋体" w:eastAsia="宋体" w:cs="宋体"/>
          <w:b/>
          <w:color w:val="auto"/>
          <w:sz w:val="24"/>
        </w:rPr>
        <w:t>分。考试时长</w:t>
      </w:r>
      <w:r>
        <w:rPr>
          <w:rFonts w:hint="eastAsia" w:cs="Times New Roman"/>
          <w:b/>
          <w:color w:val="auto"/>
          <w:sz w:val="24"/>
          <w:lang w:val="en-US" w:eastAsia="zh-CN"/>
        </w:rPr>
        <w:t>75</w:t>
      </w:r>
      <w:r>
        <w:rPr>
          <w:rFonts w:ascii="宋体" w:hAnsi="宋体" w:eastAsia="宋体" w:cs="宋体"/>
          <w:b/>
          <w:color w:val="auto"/>
          <w:sz w:val="24"/>
        </w:rPr>
        <w:t>分钟。</w:t>
      </w:r>
    </w:p>
    <w:p w14:paraId="7285BBA9">
      <w:pPr>
        <w:keepNext w:val="0"/>
        <w:keepLines w:val="0"/>
        <w:pageBreakBefore w:val="0"/>
        <w:widowControl w:val="0"/>
        <w:kinsoku/>
        <w:wordWrap/>
        <w:overflowPunct/>
        <w:topLinePunct w:val="0"/>
        <w:autoSpaceDE/>
        <w:autoSpaceDN/>
        <w:bidi w:val="0"/>
        <w:adjustRightInd/>
        <w:snapToGrid/>
        <w:spacing w:line="240" w:lineRule="auto"/>
        <w:jc w:val="center"/>
        <w:textAlignment w:val="center"/>
      </w:pPr>
      <w:r>
        <w:rPr>
          <w:rFonts w:ascii="宋体" w:hAnsi="宋体" w:eastAsia="宋体" w:cs="宋体"/>
          <w:b/>
          <w:color w:val="auto"/>
          <w:sz w:val="24"/>
        </w:rPr>
        <w:t>第一部分</w:t>
      </w:r>
    </w:p>
    <w:p w14:paraId="4482C080">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ascii="宋体" w:hAnsi="宋体" w:eastAsia="宋体" w:cs="宋体"/>
          <w:b/>
          <w:color w:val="auto"/>
          <w:sz w:val="24"/>
        </w:rPr>
        <w:t>本部分共</w:t>
      </w:r>
      <w:r>
        <w:rPr>
          <w:rFonts w:ascii="Times New Roman" w:hAnsi="Times New Roman" w:eastAsia="Times New Roman" w:cs="Times New Roman"/>
          <w:b/>
          <w:color w:val="auto"/>
          <w:sz w:val="24"/>
        </w:rPr>
        <w:t>1</w:t>
      </w:r>
      <w:r>
        <w:rPr>
          <w:rFonts w:hint="eastAsia" w:cs="Times New Roman"/>
          <w:b/>
          <w:color w:val="auto"/>
          <w:sz w:val="24"/>
          <w:lang w:val="en-US" w:eastAsia="zh-CN"/>
        </w:rPr>
        <w:t>6</w:t>
      </w:r>
      <w:r>
        <w:rPr>
          <w:rFonts w:ascii="宋体" w:hAnsi="宋体" w:eastAsia="宋体" w:cs="宋体"/>
          <w:b/>
          <w:color w:val="auto"/>
          <w:sz w:val="24"/>
        </w:rPr>
        <w:t>题，</w:t>
      </w:r>
      <w:r>
        <w:rPr>
          <w:rFonts w:hint="eastAsia" w:ascii="宋体" w:hAnsi="宋体" w:cs="宋体"/>
          <w:b/>
          <w:color w:val="auto"/>
          <w:sz w:val="24"/>
          <w:lang w:val="en-US" w:eastAsia="zh-CN"/>
        </w:rPr>
        <w:t>其中1-12题为</w:t>
      </w:r>
      <w:r>
        <w:rPr>
          <w:rFonts w:ascii="宋体" w:hAnsi="宋体" w:eastAsia="宋体" w:cs="宋体"/>
          <w:b/>
          <w:color w:val="auto"/>
          <w:sz w:val="24"/>
        </w:rPr>
        <w:t>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hint="eastAsia" w:ascii="宋体" w:hAnsi="宋体" w:cs="宋体"/>
          <w:b/>
          <w:color w:val="auto"/>
          <w:sz w:val="24"/>
          <w:lang w:val="en-US" w:eastAsia="zh-CN"/>
        </w:rPr>
        <w:t>13—16题每题4分，</w:t>
      </w:r>
      <w:r>
        <w:rPr>
          <w:rFonts w:ascii="宋体" w:hAnsi="宋体" w:eastAsia="宋体" w:cs="宋体"/>
          <w:b/>
          <w:color w:val="auto"/>
          <w:sz w:val="24"/>
        </w:rPr>
        <w:t>共</w:t>
      </w:r>
      <w:r>
        <w:rPr>
          <w:rFonts w:hint="eastAsia" w:cs="Times New Roman"/>
          <w:b/>
          <w:color w:val="auto"/>
          <w:sz w:val="24"/>
          <w:lang w:val="en-US" w:eastAsia="zh-CN"/>
        </w:rPr>
        <w:t>40</w:t>
      </w:r>
      <w:r>
        <w:rPr>
          <w:rFonts w:ascii="宋体" w:hAnsi="宋体" w:eastAsia="宋体" w:cs="宋体"/>
          <w:b/>
          <w:color w:val="auto"/>
          <w:sz w:val="24"/>
        </w:rPr>
        <w:t>分。在每题列出的四个选项中，选出最符合题目要求的一项。</w:t>
      </w:r>
    </w:p>
    <w:p w14:paraId="441ED7A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1．每个科学结论都离不开科学家使用合理的科学研究方法。下列相关叙述正确的是（</w:t>
      </w:r>
      <w:r>
        <w:rPr>
          <w:rFonts w:ascii="Times New Roman" w:hAnsi="Times New Roman" w:eastAsia="Times New Roman" w:cs="Times New Roman"/>
          <w:kern w:val="0"/>
          <w:sz w:val="24"/>
          <w:szCs w:val="24"/>
        </w:rPr>
        <w:t>    </w:t>
      </w:r>
      <w:r>
        <w:rPr>
          <w:sz w:val="21"/>
        </w:rPr>
        <w:t>）</w:t>
      </w:r>
    </w:p>
    <w:p w14:paraId="1D8F7B1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A．格里菲思：利用减法原理证明DNA才是使R型细菌发生稳定遗传变化的物质</w:t>
      </w:r>
    </w:p>
    <w:p w14:paraId="00CD6A1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B．沃森和克里克：利用模型建构提出反向平行的两条DNA链构成双螺旋结构</w:t>
      </w:r>
    </w:p>
    <w:p w14:paraId="6832E77E">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C．赫尔希和蔡斯：利用放射性同位素标记证明DNA才是大肠杆菌的遗传物质</w:t>
      </w:r>
    </w:p>
    <w:p w14:paraId="51445A35">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D．孟德尔：利用假说-演绎法证明非同源染色体上的非等位基因会进行自由组合</w:t>
      </w:r>
    </w:p>
    <w:p w14:paraId="35F5FF8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2．某研究小组给大鼠注射抗促甲状腺激素血清后，测定大鼠血液中相关激素的含量并进行分析。下列相关叙述正确的是（</w:t>
      </w:r>
      <w:r>
        <w:rPr>
          <w:rFonts w:ascii="Times New Roman" w:hAnsi="Times New Roman" w:eastAsia="Times New Roman" w:cs="Times New Roman"/>
          <w:kern w:val="0"/>
          <w:sz w:val="24"/>
          <w:szCs w:val="24"/>
        </w:rPr>
        <w:t>    </w:t>
      </w:r>
      <w:r>
        <w:rPr>
          <w:sz w:val="21"/>
        </w:rPr>
        <w:t>）</w:t>
      </w:r>
    </w:p>
    <w:p w14:paraId="685071C1">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A．垂体分泌促甲状腺激素的功能增强</w:t>
      </w:r>
    </w:p>
    <w:p w14:paraId="1002E6C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B．甲状腺激素对下丘脑的负反馈作用增强</w:t>
      </w:r>
    </w:p>
    <w:p w14:paraId="07E901E8">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C．促甲状腺激素对下丘脑的负反馈作用减弱</w:t>
      </w:r>
    </w:p>
    <w:p w14:paraId="48234A43">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D．下丘脑分泌促甲状腺激素释放激素的功能降低</w:t>
      </w:r>
    </w:p>
    <w:p w14:paraId="23641E7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中国科学家近期在《Cell》上发文，揭示水稻北移种植过程中低温诱导适应性性状获得的分子机制，为拉马克进化理论提供了分子学证据。研究表明低温胁迫降低了甲基转移酶MET1b的表达，引发基因ACT1的启动子DNA甲基化丢失，促进转录因子Dof1的结合，从而激活ACT1表达，赋予水稻耐冷性状。下列有关说法错误的是（</w:t>
      </w:r>
      <w:r>
        <w:rPr>
          <w:rFonts w:ascii="Times New Roman" w:hAnsi="Times New Roman" w:eastAsia="Times New Roman" w:cs="Times New Roman"/>
          <w:kern w:val="0"/>
          <w:sz w:val="24"/>
          <w:szCs w:val="24"/>
        </w:rPr>
        <w:t>    </w:t>
      </w:r>
      <w:r>
        <w:rPr>
          <w:sz w:val="21"/>
        </w:rPr>
        <w:t>）</w:t>
      </w:r>
    </w:p>
    <w:p w14:paraId="2BF30B2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A．该研究表明生物适应的来源是可遗传的有利变异，适应是自然选择的结果</w:t>
      </w:r>
    </w:p>
    <w:p w14:paraId="7C9EB3D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B．水稻北移种植前，基因ACT1的甲基化水平高，ACT1不表达，水稻耐冷性特征差</w:t>
      </w:r>
    </w:p>
    <w:p w14:paraId="55362C6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C．拉马克提出生物会随环境变化主动做出改变，并将获得的有利性状遗传给后代</w:t>
      </w:r>
    </w:p>
    <w:p w14:paraId="35A769E8">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D．Dof1可以促使RNA聚合酶更容易与ACT1的启动子结合，进而促进ACT1的转录</w:t>
      </w:r>
    </w:p>
    <w:p w14:paraId="6CB1C00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4．控制果蝇的翻翅基因A和正常翅基因a是X、Y染色体同源区段上的一对等位基因。下列有关说法错误的是（</w:t>
      </w:r>
      <w:r>
        <w:rPr>
          <w:rFonts w:ascii="Times New Roman" w:hAnsi="Times New Roman" w:eastAsia="Times New Roman" w:cs="Times New Roman"/>
          <w:kern w:val="0"/>
          <w:sz w:val="24"/>
          <w:szCs w:val="24"/>
        </w:rPr>
        <w:t>    </w:t>
      </w:r>
      <w:r>
        <w:rPr>
          <w:sz w:val="21"/>
        </w:rPr>
        <w:t>）</w:t>
      </w:r>
    </w:p>
    <w:p w14:paraId="5C16B829">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A．果蝇群体中正常翅的基因型可以有2种，翻翅的基因型可以有5种</w:t>
      </w:r>
    </w:p>
    <w:p w14:paraId="33204F8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B．若后代雄果蝇全为正常翅，雌果蝇全为翻翅，则父本果蝇的基因型必为X</w:t>
      </w:r>
      <w:r>
        <w:rPr>
          <w:sz w:val="21"/>
          <w:vertAlign w:val="superscript"/>
        </w:rPr>
        <w:t>A</w:t>
      </w:r>
      <w:r>
        <w:rPr>
          <w:sz w:val="21"/>
        </w:rPr>
        <w:t>Y</w:t>
      </w:r>
      <w:r>
        <w:rPr>
          <w:sz w:val="21"/>
          <w:vertAlign w:val="superscript"/>
        </w:rPr>
        <w:t>a</w:t>
      </w:r>
    </w:p>
    <w:p w14:paraId="413B9D4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C．若后代雌果蝇和雄果蝇全为翻翅，则父本果蝇的基因型必为X</w:t>
      </w:r>
      <w:r>
        <w:rPr>
          <w:sz w:val="21"/>
          <w:vertAlign w:val="superscript"/>
        </w:rPr>
        <w:t>A</w:t>
      </w:r>
      <w:r>
        <w:rPr>
          <w:sz w:val="21"/>
        </w:rPr>
        <w:t>Y</w:t>
      </w:r>
      <w:r>
        <w:rPr>
          <w:sz w:val="21"/>
          <w:vertAlign w:val="superscript"/>
        </w:rPr>
        <w:t>A</w:t>
      </w:r>
    </w:p>
    <w:p w14:paraId="7E3A8D6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D．若后代雌果蝇全为正常翅，雄果蝇全为翻翅，则父本果蝇的基因型必为X</w:t>
      </w:r>
      <w:r>
        <w:rPr>
          <w:sz w:val="21"/>
          <w:vertAlign w:val="superscript"/>
        </w:rPr>
        <w:t>a</w:t>
      </w:r>
      <w:r>
        <w:rPr>
          <w:sz w:val="21"/>
        </w:rPr>
        <w:t>Y</w:t>
      </w:r>
      <w:r>
        <w:rPr>
          <w:sz w:val="21"/>
          <w:vertAlign w:val="superscript"/>
        </w:rPr>
        <w:t>A</w:t>
      </w:r>
    </w:p>
    <w:p w14:paraId="17CD955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59264" behindDoc="0" locked="0" layoutInCell="1" allowOverlap="1">
            <wp:simplePos x="0" y="0"/>
            <wp:positionH relativeFrom="column">
              <wp:posOffset>3630295</wp:posOffset>
            </wp:positionH>
            <wp:positionV relativeFrom="paragraph">
              <wp:posOffset>433705</wp:posOffset>
            </wp:positionV>
            <wp:extent cx="2424430" cy="1457960"/>
            <wp:effectExtent l="0" t="0" r="1270" b="2540"/>
            <wp:wrapSquare wrapText="bothSides"/>
            <wp:docPr id="100003" name="图片 100003" descr="@@@607be029-4fc8-478c-9aa8-8eb6a3b6ab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07be029-4fc8-478c-9aa8-8eb6a3b6abe1"/>
                    <pic:cNvPicPr>
                      <a:picLocks noChangeAspect="1"/>
                    </pic:cNvPicPr>
                  </pic:nvPicPr>
                  <pic:blipFill>
                    <a:blip r:embed="rId10"/>
                    <a:stretch>
                      <a:fillRect/>
                    </a:stretch>
                  </pic:blipFill>
                  <pic:spPr>
                    <a:xfrm>
                      <a:off x="0" y="0"/>
                      <a:ext cx="2424430" cy="1457960"/>
                    </a:xfrm>
                    <a:prstGeom prst="rect">
                      <a:avLst/>
                    </a:prstGeom>
                  </pic:spPr>
                </pic:pic>
              </a:graphicData>
            </a:graphic>
          </wp:anchor>
        </w:drawing>
      </w:r>
      <w:r>
        <w:rPr>
          <w:sz w:val="21"/>
        </w:rPr>
        <w:t>5．模型构建法是生物学上常用的研究方法，图示为某种生物细胞内部分代谢活动的概念模型图，其中①—⑤表示代谢过程，a—f表示代谢过程中产生的物质。据图分析，下列结论正确的是（</w:t>
      </w:r>
      <w:r>
        <w:rPr>
          <w:rFonts w:ascii="Times New Roman" w:hAnsi="Times New Roman" w:eastAsia="Times New Roman" w:cs="Times New Roman"/>
          <w:kern w:val="0"/>
          <w:sz w:val="24"/>
          <w:szCs w:val="24"/>
        </w:rPr>
        <w:t>    </w:t>
      </w:r>
      <w:r>
        <w:rPr>
          <w:sz w:val="21"/>
        </w:rPr>
        <w:t>）</w:t>
      </w:r>
    </w:p>
    <w:p w14:paraId="7AFBD85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A．③过程产生的能量可提供给骨骼肌细胞进行生命活动</w:t>
      </w:r>
    </w:p>
    <w:p w14:paraId="31D559E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B．④过程是有氧呼吸的第二阶段，④过程产生的d为CO</w:t>
      </w:r>
      <w:r>
        <w:rPr>
          <w:sz w:val="21"/>
          <w:vertAlign w:val="subscript"/>
        </w:rPr>
        <w:t>2</w:t>
      </w:r>
    </w:p>
    <w:p w14:paraId="312FA0D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C．缺氧条件下葡萄糖分解后大部分能量以热能形式散失</w:t>
      </w:r>
    </w:p>
    <w:p w14:paraId="4EBBDDA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D．受损的线粒体功能退化会直接影响葡萄糖的氧化分解</w:t>
      </w:r>
    </w:p>
    <w:p w14:paraId="3A58B50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6．为达到实验目的，需要选用合适的实验材料、实验试剂进行实验，同时还需要进行正确的实验操作程序。下列相关实验匹配正确的是（</w:t>
      </w:r>
      <w:r>
        <w:rPr>
          <w:rFonts w:ascii="Times New Roman" w:hAnsi="Times New Roman" w:eastAsia="Times New Roman" w:cs="Times New Roman"/>
          <w:kern w:val="0"/>
          <w:sz w:val="24"/>
          <w:szCs w:val="24"/>
        </w:rPr>
        <w:t>    </w:t>
      </w:r>
      <w:r>
        <w:rPr>
          <w:sz w:val="21"/>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96"/>
        <w:gridCol w:w="2633"/>
        <w:gridCol w:w="5318"/>
      </w:tblGrid>
      <w:tr w14:paraId="1AED8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25301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9F301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高中生物学实验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F28C1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详情</w:t>
            </w:r>
          </w:p>
        </w:tc>
      </w:tr>
      <w:tr w14:paraId="5351B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442F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D3BAE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观察根尖分生区组织细胞的有丝分裂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2096A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将解离后的根尖用甲紫染液染色后，经清水漂洗后再观察</w:t>
            </w:r>
          </w:p>
        </w:tc>
      </w:tr>
      <w:tr w14:paraId="5AFD7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0F8ED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292B0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检测生物组织中的蛋白质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41A86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向待测组织样液中加入双缩脲试剂的混合液，再观察实验结果</w:t>
            </w:r>
          </w:p>
        </w:tc>
      </w:tr>
      <w:tr w14:paraId="31C7B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A9910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57043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光合色素的分离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5F2C8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用无水乙醇提取并分离色素</w:t>
            </w:r>
          </w:p>
        </w:tc>
      </w:tr>
      <w:tr w14:paraId="361BF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21E09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4A8DA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观察细胞质的流动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AD3EF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先低倍镜找到特定区域的黑藻叶肉细胞，再换高倍镜观察叶绿体随细胞质流动</w:t>
            </w:r>
          </w:p>
        </w:tc>
      </w:tr>
    </w:tbl>
    <w:p w14:paraId="64EA1E95">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ind w:left="300"/>
        <w:jc w:val="left"/>
        <w:textAlignment w:val="center"/>
        <w:rPr>
          <w:sz w:val="21"/>
        </w:rPr>
      </w:pPr>
      <w:r>
        <w:rPr>
          <w:sz w:val="21"/>
        </w:rPr>
        <w:t>A．A</w:t>
      </w:r>
      <w:r>
        <w:rPr>
          <w:sz w:val="21"/>
        </w:rPr>
        <w:tab/>
      </w:r>
      <w:r>
        <w:rPr>
          <w:sz w:val="21"/>
        </w:rPr>
        <w:t>B．B</w:t>
      </w:r>
      <w:r>
        <w:rPr>
          <w:sz w:val="21"/>
        </w:rPr>
        <w:tab/>
      </w:r>
      <w:r>
        <w:rPr>
          <w:sz w:val="21"/>
        </w:rPr>
        <w:t>C．C</w:t>
      </w:r>
      <w:r>
        <w:rPr>
          <w:sz w:val="21"/>
        </w:rPr>
        <w:tab/>
      </w:r>
      <w:r>
        <w:rPr>
          <w:sz w:val="21"/>
        </w:rPr>
        <w:t>D．D</w:t>
      </w:r>
    </w:p>
    <w:p w14:paraId="289A2A1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60288" behindDoc="0" locked="0" layoutInCell="1" allowOverlap="1">
            <wp:simplePos x="0" y="0"/>
            <wp:positionH relativeFrom="column">
              <wp:posOffset>3979545</wp:posOffset>
            </wp:positionH>
            <wp:positionV relativeFrom="paragraph">
              <wp:posOffset>81280</wp:posOffset>
            </wp:positionV>
            <wp:extent cx="2275205" cy="1522095"/>
            <wp:effectExtent l="0" t="0" r="10795" b="1905"/>
            <wp:wrapSquare wrapText="bothSides"/>
            <wp:docPr id="100005" name="图片 100005" descr="@@@266036ff-a80a-4920-8dc6-d1e9e57c4a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266036ff-a80a-4920-8dc6-d1e9e57c4a55"/>
                    <pic:cNvPicPr>
                      <a:picLocks noChangeAspect="1"/>
                    </pic:cNvPicPr>
                  </pic:nvPicPr>
                  <pic:blipFill>
                    <a:blip r:embed="rId11"/>
                    <a:stretch>
                      <a:fillRect/>
                    </a:stretch>
                  </pic:blipFill>
                  <pic:spPr>
                    <a:xfrm>
                      <a:off x="0" y="0"/>
                      <a:ext cx="2275205" cy="1522095"/>
                    </a:xfrm>
                    <a:prstGeom prst="rect">
                      <a:avLst/>
                    </a:prstGeom>
                  </pic:spPr>
                </pic:pic>
              </a:graphicData>
            </a:graphic>
          </wp:anchor>
        </w:drawing>
      </w:r>
      <w:r>
        <w:rPr>
          <w:sz w:val="21"/>
        </w:rPr>
        <w:t>7．胃酸分泌是指胃部产生盐酸的过程，这对于食物的消化至关重要。下图表示胃壁细胞的一系列物质运输过程，下列说法正确的是（</w:t>
      </w:r>
      <w:r>
        <w:rPr>
          <w:rFonts w:ascii="Times New Roman" w:hAnsi="Times New Roman" w:eastAsia="Times New Roman" w:cs="Times New Roman"/>
          <w:kern w:val="0"/>
          <w:sz w:val="24"/>
          <w:szCs w:val="24"/>
        </w:rPr>
        <w:t>    </w:t>
      </w:r>
      <w:r>
        <w:rPr>
          <w:sz w:val="21"/>
        </w:rPr>
        <w:t>）</w:t>
      </w:r>
    </w:p>
    <w:p w14:paraId="414A222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A．K</w:t>
      </w:r>
      <w:r>
        <w:rPr>
          <w:sz w:val="21"/>
          <w:vertAlign w:val="superscript"/>
        </w:rPr>
        <w:t>+</w:t>
      </w:r>
      <w:r>
        <w:rPr>
          <w:sz w:val="21"/>
        </w:rPr>
        <w:t>通过主动运输方式运出胃壁细胞时需与K</w:t>
      </w:r>
      <w:r>
        <w:rPr>
          <w:sz w:val="21"/>
          <w:vertAlign w:val="superscript"/>
        </w:rPr>
        <w:t>+</w:t>
      </w:r>
      <w:r>
        <w:rPr>
          <w:sz w:val="21"/>
        </w:rPr>
        <w:t>通道蛋白结合</w:t>
      </w:r>
    </w:p>
    <w:p w14:paraId="4512E48E">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B．胃壁细胞吸收K</w:t>
      </w:r>
      <w:r>
        <w:rPr>
          <w:sz w:val="21"/>
          <w:vertAlign w:val="superscript"/>
        </w:rPr>
        <w:t>+</w:t>
      </w:r>
      <w:r>
        <w:rPr>
          <w:sz w:val="21"/>
        </w:rPr>
        <w:t>和释放H</w:t>
      </w:r>
      <w:r>
        <w:rPr>
          <w:sz w:val="21"/>
          <w:vertAlign w:val="superscript"/>
        </w:rPr>
        <w:t>+</w:t>
      </w:r>
      <w:r>
        <w:rPr>
          <w:sz w:val="21"/>
        </w:rPr>
        <w:t>时ATPase蛋白会发生结构变化</w:t>
      </w:r>
    </w:p>
    <w:p w14:paraId="4D87A89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C．胃壁细胞释放</w:t>
      </w:r>
      <w:r>
        <w:object>
          <v:shape id="_x0000_i1025" o:spt="75" alt="eqId990ea0fd806f2a823c908705100860e8" type="#_x0000_t75" style="height:16.65pt;width:29pt;" o:ole="t" filled="f" o:preferrelative="t" stroked="f" coordsize="21600,21600">
            <v:path/>
            <v:fill on="f" focussize="0,0"/>
            <v:stroke on="f" joinstyle="miter"/>
            <v:imagedata r:id="rId13" o:title="eqId990ea0fd806f2a823c908705100860e8"/>
            <o:lock v:ext="edit" aspectratio="t"/>
            <w10:wrap type="none"/>
            <w10:anchorlock/>
          </v:shape>
          <o:OLEObject Type="Embed" ProgID="Equation.DSMT4" ShapeID="_x0000_i1025" DrawAspect="Content" ObjectID="_1468075725" r:id="rId12">
            <o:LockedField>false</o:LockedField>
          </o:OLEObject>
        </w:object>
      </w:r>
      <w:r>
        <w:rPr>
          <w:sz w:val="21"/>
        </w:rPr>
        <w:t>利用了Cl</w:t>
      </w:r>
      <w:r>
        <w:rPr>
          <w:sz w:val="21"/>
          <w:vertAlign w:val="superscript"/>
        </w:rPr>
        <w:t>-</w:t>
      </w:r>
      <w:r>
        <w:rPr>
          <w:sz w:val="21"/>
        </w:rPr>
        <w:t>内流的势能，属于主动运输</w:t>
      </w:r>
    </w:p>
    <w:p w14:paraId="7CA76B32">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D．H</w:t>
      </w:r>
      <w:r>
        <w:rPr>
          <w:sz w:val="21"/>
          <w:vertAlign w:val="superscript"/>
        </w:rPr>
        <w:t>+</w:t>
      </w:r>
      <w:r>
        <w:rPr>
          <w:sz w:val="21"/>
        </w:rPr>
        <w:t>/K</w:t>
      </w:r>
      <w:r>
        <w:rPr>
          <w:sz w:val="21"/>
          <w:vertAlign w:val="superscript"/>
        </w:rPr>
        <w:t>+</w:t>
      </w:r>
      <w:r>
        <w:rPr>
          <w:sz w:val="21"/>
        </w:rPr>
        <w:t>ATPase能运输两种不同离子，说明载体蛋白无特异性</w:t>
      </w:r>
    </w:p>
    <w:p w14:paraId="6F25D6C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8．斑马鱼在面临“饥饿胁迫”时，仍能在一定范围内维持正常的生命活动。研究员对斑马鱼的成纤维细胞（ZF4）开展了相关研究，饥饿处理0～48h，测得ZF4的细胞周期中各时期细胞总数占总细胞数的比例，如表所示，据此推测，“饥饿胁迫”对细胞增殖过程最主要的影响是（</w:t>
      </w:r>
      <w:r>
        <w:rPr>
          <w:rFonts w:ascii="Times New Roman" w:hAnsi="Times New Roman" w:eastAsia="Times New Roman" w:cs="Times New Roman"/>
          <w:kern w:val="0"/>
          <w:sz w:val="24"/>
          <w:szCs w:val="24"/>
        </w:rPr>
        <w:t>    </w:t>
      </w:r>
      <w:r>
        <w:rPr>
          <w:sz w:val="21"/>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20"/>
        <w:gridCol w:w="1299"/>
        <w:gridCol w:w="1215"/>
        <w:gridCol w:w="1623"/>
      </w:tblGrid>
      <w:tr w14:paraId="026CD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7EDAC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所处时期处理时间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BAE58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G</w:t>
            </w:r>
            <w:r>
              <w:rPr>
                <w:sz w:val="21"/>
                <w:vertAlign w:val="subscript"/>
              </w:rPr>
              <w:t>1</w:t>
            </w:r>
            <w:r>
              <w:rPr>
                <w:sz w:val="21"/>
              </w:rPr>
              <w:t>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33FD4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S期（%）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1EDE4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G</w:t>
            </w:r>
            <w:r>
              <w:rPr>
                <w:sz w:val="21"/>
                <w:vertAlign w:val="subscript"/>
              </w:rPr>
              <w:t>2</w:t>
            </w:r>
            <w:r>
              <w:rPr>
                <w:sz w:val="21"/>
              </w:rPr>
              <w:t>+M期（%）</w:t>
            </w:r>
          </w:p>
        </w:tc>
      </w:tr>
      <w:tr w14:paraId="11F59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763F8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0h</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422F7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71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57303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5EA9F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11</w:t>
            </w:r>
          </w:p>
        </w:tc>
      </w:tr>
      <w:tr w14:paraId="5B935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05374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12h</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EC22B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E8FA4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177B4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10</w:t>
            </w:r>
          </w:p>
        </w:tc>
      </w:tr>
      <w:tr w14:paraId="64FCE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F7D4B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24h</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88B93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83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906A3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5F746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9</w:t>
            </w:r>
          </w:p>
        </w:tc>
      </w:tr>
      <w:tr w14:paraId="382AA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F6B8C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48h</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BAF5A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91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62DA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EC15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w:t>
            </w:r>
          </w:p>
        </w:tc>
      </w:tr>
    </w:tbl>
    <w:p w14:paraId="51CC27AF">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ind w:left="300"/>
        <w:jc w:val="left"/>
        <w:textAlignment w:val="center"/>
        <w:rPr>
          <w:sz w:val="21"/>
        </w:rPr>
      </w:pPr>
      <w:r>
        <w:rPr>
          <w:sz w:val="21"/>
        </w:rPr>
        <w:t>A．促进RNA和蛋白质合成</w:t>
      </w:r>
      <w:r>
        <w:rPr>
          <w:sz w:val="21"/>
        </w:rPr>
        <w:tab/>
      </w:r>
      <w:r>
        <w:rPr>
          <w:sz w:val="21"/>
        </w:rPr>
        <w:t>B．促进纺锤体的形成</w:t>
      </w:r>
    </w:p>
    <w:p w14:paraId="348E03A6">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ind w:left="300"/>
        <w:jc w:val="left"/>
        <w:textAlignment w:val="center"/>
        <w:rPr>
          <w:sz w:val="21"/>
        </w:rPr>
      </w:pPr>
      <w:r>
        <w:rPr>
          <w:sz w:val="21"/>
        </w:rPr>
        <w:t>C．抑制DNA复制酶的合成</w:t>
      </w:r>
      <w:r>
        <w:rPr>
          <w:sz w:val="21"/>
        </w:rPr>
        <w:tab/>
      </w:r>
      <w:r>
        <w:rPr>
          <w:sz w:val="21"/>
        </w:rPr>
        <w:t>D．使染色体数目加倍</w:t>
      </w:r>
    </w:p>
    <w:p w14:paraId="4CF05C2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9．二化螟和褐飞虱是水稻的害虫。二化螟单独取食水稻茎秆纤维时，水稻迅速启动防御反应，显著负面影响二化螟幼虫的生长发育。二化螟诱导水稻释放的挥发物对褐飞虱卵寄生天敌稻虱缨小蜂具有显著的排斥作用，褐飞虱选择到二化螟为害稻株上刺吸水稻茎叶汁液和产卵。褐飞虱与二化螟共同为害水稻时，可显著抑制水稻防御反应，消除对二化螟幼虫生长发育的负面影响。下列叙述错误的是（</w:t>
      </w:r>
      <w:r>
        <w:rPr>
          <w:rFonts w:ascii="Times New Roman" w:hAnsi="Times New Roman" w:eastAsia="Times New Roman" w:cs="Times New Roman"/>
          <w:kern w:val="0"/>
          <w:sz w:val="24"/>
          <w:szCs w:val="24"/>
        </w:rPr>
        <w:t>    </w:t>
      </w:r>
      <w:r>
        <w:rPr>
          <w:sz w:val="21"/>
        </w:rPr>
        <w:t>）</w:t>
      </w:r>
    </w:p>
    <w:p w14:paraId="602CC37E">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A．稻虱缨小蜂与褐飞虱之间是寄生关系，对彼此而言互为密度制约因素</w:t>
      </w:r>
    </w:p>
    <w:p w14:paraId="738D2642">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B．褐飞虱和二化螟的生态位不完全相同，种间竞争并不激烈</w:t>
      </w:r>
    </w:p>
    <w:p w14:paraId="3C96C073">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C．水稻介导的二化螟和褐飞虱已发展为“互利共存”的关系</w:t>
      </w:r>
    </w:p>
    <w:p w14:paraId="4ACE7CB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D．驱动褐飞虱和二化螟共同为害水稻的原因是两者食物需求不同</w:t>
      </w:r>
    </w:p>
    <w:p w14:paraId="0573476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10．为实现“碳达峰”、“碳中和”目标（“碳中和”是指通过植树造林、节能减排等形式，抵消CO</w:t>
      </w:r>
      <w:r>
        <w:rPr>
          <w:sz w:val="21"/>
          <w:vertAlign w:val="subscript"/>
        </w:rPr>
        <w:t>2</w:t>
      </w:r>
      <w:r>
        <w:rPr>
          <w:sz w:val="21"/>
        </w:rPr>
        <w:t>排放总量，实现相对“零排放”），我国科研人员采取了“碳减排”“碳捕集”“碳封存”和“碳利用”等多种措施。图为某生态系统碳元素流动模型，图中数字表示生理过程或化学反应过程。下列叙述正确的是（</w:t>
      </w:r>
      <w:r>
        <w:rPr>
          <w:rFonts w:ascii="Times New Roman" w:hAnsi="Times New Roman" w:eastAsia="Times New Roman" w:cs="Times New Roman"/>
          <w:kern w:val="0"/>
          <w:sz w:val="24"/>
          <w:szCs w:val="24"/>
        </w:rPr>
        <w:t>    </w:t>
      </w:r>
      <w:r>
        <w:rPr>
          <w:sz w:val="21"/>
        </w:rPr>
        <w:t>）</w:t>
      </w:r>
    </w:p>
    <w:p w14:paraId="2476CE5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58745" cy="1382395"/>
            <wp:effectExtent l="0" t="0" r="8255" b="1905"/>
            <wp:docPr id="100007" name="图片 100007" descr="@@@396dab09-b284-4bb1-9d0d-2406d9b5ac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396dab09-b284-4bb1-9d0d-2406d9b5ac85"/>
                    <pic:cNvPicPr>
                      <a:picLocks noChangeAspect="1"/>
                    </pic:cNvPicPr>
                  </pic:nvPicPr>
                  <pic:blipFill>
                    <a:blip r:embed="rId14"/>
                    <a:stretch>
                      <a:fillRect/>
                    </a:stretch>
                  </pic:blipFill>
                  <pic:spPr>
                    <a:xfrm>
                      <a:off x="0" y="0"/>
                      <a:ext cx="2658745" cy="1382395"/>
                    </a:xfrm>
                    <a:prstGeom prst="rect">
                      <a:avLst/>
                    </a:prstGeom>
                  </pic:spPr>
                </pic:pic>
              </a:graphicData>
            </a:graphic>
          </wp:inline>
        </w:drawing>
      </w:r>
    </w:p>
    <w:p w14:paraId="0F2145A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A．图中生态系统的基石是D，B在生态系统的物质循环中具有重要作用</w:t>
      </w:r>
    </w:p>
    <w:p w14:paraId="20229743">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B．若图中⑧＝①＋②＋③，则达成“碳中和”</w:t>
      </w:r>
    </w:p>
    <w:p w14:paraId="62B2A6D9">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C．图中碳元素以含碳有机物形式流动的过程有⑤⑥⑦⑨</w:t>
      </w:r>
    </w:p>
    <w:p w14:paraId="12FA5B68">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D．植树造林、使用清洁能源等都是达成碳减排的重要措施</w:t>
      </w:r>
    </w:p>
    <w:p w14:paraId="648BB15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11．遗传性视网膜病变是一类由RPE65 基因突变导致的视网膜退化性疾病，通过视网膜下注射技术，利用腺相关病毒（AAV（递送功能正常的RPE65 基因是治疗遗传性视网膜病变的最新疗法（如图），已使大量患者的视力得到改善。下列叙述错误的是（</w:t>
      </w:r>
      <w:r>
        <w:rPr>
          <w:rFonts w:ascii="Times New Roman" w:hAnsi="Times New Roman" w:eastAsia="Times New Roman" w:cs="Times New Roman"/>
          <w:kern w:val="0"/>
          <w:sz w:val="24"/>
          <w:szCs w:val="24"/>
        </w:rPr>
        <w:t>    </w:t>
      </w:r>
      <w:r>
        <w:rPr>
          <w:sz w:val="21"/>
        </w:rPr>
        <w:t>）</w:t>
      </w:r>
    </w:p>
    <w:p w14:paraId="44F92EEE">
      <w:pPr>
        <w:keepNext w:val="0"/>
        <w:keepLines w:val="0"/>
        <w:pageBreakBefore w:val="0"/>
        <w:widowControl w:val="0"/>
        <w:shd w:val="clear" w:color="auto" w:fill="auto"/>
        <w:kinsoku/>
        <w:wordWrap/>
        <w:overflowPunct/>
        <w:topLinePunct w:val="0"/>
        <w:autoSpaceDE/>
        <w:autoSpaceDN/>
        <w:bidi w:val="0"/>
        <w:adjustRightInd/>
        <w:snapToGrid/>
        <w:spacing w:line="24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839970" cy="521335"/>
            <wp:effectExtent l="0" t="0" r="11430" b="12065"/>
            <wp:docPr id="100009" name="图片 100009" descr="@@@6a3e0c3f-6e1c-4eec-a22e-b04f9916a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6a3e0c3f-6e1c-4eec-a22e-b04f9916a993"/>
                    <pic:cNvPicPr>
                      <a:picLocks noChangeAspect="1"/>
                    </pic:cNvPicPr>
                  </pic:nvPicPr>
                  <pic:blipFill>
                    <a:blip r:embed="rId15"/>
                    <a:stretch>
                      <a:fillRect/>
                    </a:stretch>
                  </pic:blipFill>
                  <pic:spPr>
                    <a:xfrm>
                      <a:off x="0" y="0"/>
                      <a:ext cx="4839970" cy="521335"/>
                    </a:xfrm>
                    <a:prstGeom prst="rect">
                      <a:avLst/>
                    </a:prstGeom>
                  </pic:spPr>
                </pic:pic>
              </a:graphicData>
            </a:graphic>
          </wp:inline>
        </w:drawing>
      </w:r>
    </w:p>
    <w:p w14:paraId="585240D5">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A．步骤①通过构建基因文库获取目的基因，此过程需RNA 聚合酶催化</w:t>
      </w:r>
    </w:p>
    <w:p w14:paraId="576EE9C5">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B．构建AAV 表达载体时应在RPE65 基因前连接视网膜特异性启动子</w:t>
      </w:r>
    </w:p>
    <w:p w14:paraId="3F1464E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C．在视网膜下注射转入可让AAV 载体更准确、高效地导入视网膜细胞</w:t>
      </w:r>
    </w:p>
    <w:p w14:paraId="324E716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D．检测患者在低光照下的导航能力是否增强属于个体生物学水平的鉴定</w:t>
      </w:r>
    </w:p>
    <w:p w14:paraId="1468885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12．青霉素的发酵生产过程中遇到两个问题，首先发酵过程中总会产生头孢霉素如图1，其次青霉素发酵需要大量氧气。为保证发酵过程中青霉素的持续高产，研究人员将透明颤菌（细菌）的血红蛋白引入青霉菌，设计方案如图2所示。相关叙述</w:t>
      </w:r>
      <w:r>
        <w:rPr>
          <w:sz w:val="21"/>
          <w:em w:val="dot"/>
          <w:lang w:eastAsia="zh-CN"/>
        </w:rPr>
        <w:t>错误</w:t>
      </w:r>
      <w:r>
        <w:rPr>
          <w:sz w:val="21"/>
        </w:rPr>
        <w:t>的是（</w:t>
      </w:r>
      <w:r>
        <w:rPr>
          <w:rFonts w:ascii="Times New Roman" w:hAnsi="Times New Roman" w:eastAsia="Times New Roman" w:cs="Times New Roman"/>
          <w:kern w:val="0"/>
          <w:sz w:val="24"/>
          <w:szCs w:val="24"/>
        </w:rPr>
        <w:t>    </w:t>
      </w:r>
      <w:r>
        <w:rPr>
          <w:sz w:val="21"/>
        </w:rPr>
        <w:t>）</w:t>
      </w:r>
    </w:p>
    <w:p w14:paraId="61366D8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drawing>
          <wp:inline distT="0" distB="0" distL="114300" distR="114300">
            <wp:extent cx="4349115" cy="1151890"/>
            <wp:effectExtent l="0" t="0" r="6985" b="381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6"/>
                    <a:stretch>
                      <a:fillRect/>
                    </a:stretch>
                  </pic:blipFill>
                  <pic:spPr>
                    <a:xfrm>
                      <a:off x="0" y="0"/>
                      <a:ext cx="4349115" cy="1151890"/>
                    </a:xfrm>
                    <a:prstGeom prst="rect">
                      <a:avLst/>
                    </a:prstGeom>
                  </pic:spPr>
                </pic:pic>
              </a:graphicData>
            </a:graphic>
          </wp:inline>
        </w:drawing>
      </w:r>
      <w:r>
        <w:rPr>
          <w:rFonts w:ascii="Times New Roman" w:hAnsi="Times New Roman" w:eastAsia="Times New Roman" w:cs="Times New Roman"/>
          <w:kern w:val="0"/>
          <w:sz w:val="24"/>
          <w:szCs w:val="24"/>
        </w:rPr>
        <w:t>  </w:t>
      </w:r>
    </w:p>
    <w:p w14:paraId="5EA959C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A．菌种选育时，敲除青霉菌中控制酶B合成的基因可使其只产青霉素</w:t>
      </w:r>
    </w:p>
    <w:p w14:paraId="298D9FC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B．①②过程需要用相同的酶去除细胞壁获得原生质体</w:t>
      </w:r>
    </w:p>
    <w:p w14:paraId="4C6A8875">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C．③过程可在略高渗溶液中采用PEG融合法诱导原生质体融合</w:t>
      </w:r>
    </w:p>
    <w:p w14:paraId="3C438311">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D．可利用缺乏甲硫氨酸和精氨酸的基本培养基筛选出融合细胞</w:t>
      </w:r>
    </w:p>
    <w:p w14:paraId="0B55C86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13．全球变化背景下，生物多样性丧失日益严重。拥有较长分支年龄的物种经历了更长时间的自然选择过程。物种分支多样化率是指在一定时间内，某一特定生物类群中新物种形成的速率。我国幅员辽阔，地质历史复杂，植被类型众多，尤以丰富的植物多样性而闻名。在已被评估的29530种被子植物中，超过7%属于数据缺乏（data deficient，DD）物种，大约11%的物种受到威胁，急需采取有效的保护措施。下列叙述错误的是（</w:t>
      </w:r>
      <w:r>
        <w:rPr>
          <w:rFonts w:ascii="Times New Roman" w:hAnsi="Times New Roman" w:eastAsia="Times New Roman" w:cs="Times New Roman"/>
          <w:kern w:val="0"/>
          <w:sz w:val="24"/>
          <w:szCs w:val="24"/>
        </w:rPr>
        <w:t>    </w:t>
      </w:r>
      <w:r>
        <w:rPr>
          <w:sz w:val="21"/>
        </w:rPr>
        <w:t>）</w:t>
      </w:r>
    </w:p>
    <w:p w14:paraId="6C0A24A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582795" cy="1554480"/>
            <wp:effectExtent l="0" t="0" r="1905" b="7620"/>
            <wp:docPr id="100013" name="图片 100013" descr="@@@e259eee3-283e-4fba-bd6c-fb5031e9e5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e259eee3-283e-4fba-bd6c-fb5031e9e5fa"/>
                    <pic:cNvPicPr>
                      <a:picLocks noChangeAspect="1"/>
                    </pic:cNvPicPr>
                  </pic:nvPicPr>
                  <pic:blipFill>
                    <a:blip r:embed="rId17"/>
                    <a:stretch>
                      <a:fillRect/>
                    </a:stretch>
                  </pic:blipFill>
                  <pic:spPr>
                    <a:xfrm>
                      <a:off x="0" y="0"/>
                      <a:ext cx="4582795" cy="1554480"/>
                    </a:xfrm>
                    <a:prstGeom prst="rect">
                      <a:avLst/>
                    </a:prstGeom>
                  </pic:spPr>
                </pic:pic>
              </a:graphicData>
            </a:graphic>
          </wp:inline>
        </w:drawing>
      </w:r>
      <w:r>
        <w:rPr>
          <w:rFonts w:ascii="Times New Roman" w:hAnsi="Times New Roman" w:eastAsia="Times New Roman" w:cs="Times New Roman"/>
          <w:kern w:val="0"/>
          <w:sz w:val="24"/>
          <w:szCs w:val="24"/>
        </w:rPr>
        <w:t>  </w:t>
      </w:r>
    </w:p>
    <w:p w14:paraId="2FA6C8BE">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A．物种的灭绝风险受物种地理分布范围、分支年龄和分支多样化率的影响</w:t>
      </w:r>
    </w:p>
    <w:p w14:paraId="67B23B6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B．较低的种子产量、雌雄异株和依赖其他生物传粉等功能性状使植物灭绝风险加大</w:t>
      </w:r>
    </w:p>
    <w:p w14:paraId="0462AB71">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C．榕小蜂演化出特殊的头部结构钻进榕树花序取食花蜜并传粉是协同进化</w:t>
      </w:r>
    </w:p>
    <w:p w14:paraId="00275F4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D．科年龄与新物种形成的速率存在正相关关系</w:t>
      </w:r>
    </w:p>
    <w:p w14:paraId="4017C23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14．某脆性X综合征（一种智力低下综合征）家系，如图1所示。X染色体上F基因的某区域存在（CGG）</w:t>
      </w:r>
      <w:r>
        <w:rPr>
          <w:sz w:val="21"/>
          <w:vertAlign w:val="subscript"/>
        </w:rPr>
        <w:t>n</w:t>
      </w:r>
      <w:r>
        <w:rPr>
          <w:sz w:val="21"/>
        </w:rPr>
        <w:t>三核苷酸片段重复，正常基因（F）、前突变基因（F</w:t>
      </w:r>
      <w:r>
        <w:rPr>
          <w:sz w:val="21"/>
          <w:vertAlign w:val="superscript"/>
        </w:rPr>
        <w:t>+</w:t>
      </w:r>
      <w:r>
        <w:rPr>
          <w:sz w:val="21"/>
        </w:rPr>
        <w:t>）和全突变基因（f）的相关差异，如图2所示。研究发现，卵细胞形成过程中，F基因的（CGG）</w:t>
      </w:r>
      <w:r>
        <w:rPr>
          <w:sz w:val="21"/>
          <w:vertAlign w:val="subscript"/>
        </w:rPr>
        <w:t>n</w:t>
      </w:r>
      <w:r>
        <w:rPr>
          <w:sz w:val="21"/>
        </w:rPr>
        <w:t>重复次数会显著增加，而精子形成过程中则不会增加。下列关于该病的相关叙述中，错误的是（</w:t>
      </w:r>
      <w:r>
        <w:rPr>
          <w:rFonts w:ascii="Times New Roman" w:hAnsi="Times New Roman" w:eastAsia="Times New Roman" w:cs="Times New Roman"/>
          <w:kern w:val="0"/>
          <w:sz w:val="24"/>
          <w:szCs w:val="24"/>
        </w:rPr>
        <w:t>    </w:t>
      </w:r>
      <w:r>
        <w:rPr>
          <w:sz w:val="21"/>
        </w:rPr>
        <w:t>）</w:t>
      </w:r>
    </w:p>
    <w:p w14:paraId="6766A9F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61312" behindDoc="0" locked="0" layoutInCell="1" allowOverlap="1">
            <wp:simplePos x="0" y="0"/>
            <wp:positionH relativeFrom="column">
              <wp:posOffset>4822190</wp:posOffset>
            </wp:positionH>
            <wp:positionV relativeFrom="paragraph">
              <wp:posOffset>2011045</wp:posOffset>
            </wp:positionV>
            <wp:extent cx="1447165" cy="1544320"/>
            <wp:effectExtent l="0" t="0" r="635" b="5080"/>
            <wp:wrapSquare wrapText="bothSides"/>
            <wp:docPr id="100017" name="图片 100017" descr="@@@33c37a99-e5b6-4a30-9a94-4c0b0d9803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33c37a99-e5b6-4a30-9a94-4c0b0d98034d"/>
                    <pic:cNvPicPr>
                      <a:picLocks noChangeAspect="1"/>
                    </pic:cNvPicPr>
                  </pic:nvPicPr>
                  <pic:blipFill>
                    <a:blip r:embed="rId18"/>
                    <a:stretch>
                      <a:fillRect/>
                    </a:stretch>
                  </pic:blipFill>
                  <pic:spPr>
                    <a:xfrm>
                      <a:off x="0" y="0"/>
                      <a:ext cx="1447165" cy="1544320"/>
                    </a:xfrm>
                    <a:prstGeom prst="rect">
                      <a:avLst/>
                    </a:prstGeom>
                  </pic:spPr>
                </pic:pic>
              </a:graphicData>
            </a:graphic>
          </wp:anchor>
        </w:drawing>
      </w:r>
      <w:r>
        <w:rPr>
          <w:rFonts w:ascii="Times New Roman" w:hAnsi="Times New Roman" w:eastAsia="Times New Roman" w:cs="Times New Roman"/>
          <w:strike w:val="0"/>
          <w:kern w:val="0"/>
          <w:sz w:val="24"/>
          <w:szCs w:val="24"/>
          <w:u w:val="none"/>
        </w:rPr>
        <w:drawing>
          <wp:inline distT="0" distB="0" distL="114300" distR="114300">
            <wp:extent cx="4015740" cy="1998980"/>
            <wp:effectExtent l="0" t="0" r="10160" b="7620"/>
            <wp:docPr id="100015" name="图片 100015" descr="@@@1b2d5fa5-eca2-4131-8e39-8be520969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1b2d5fa5-eca2-4131-8e39-8be520969941"/>
                    <pic:cNvPicPr>
                      <a:picLocks noChangeAspect="1"/>
                    </pic:cNvPicPr>
                  </pic:nvPicPr>
                  <pic:blipFill>
                    <a:blip r:embed="rId19"/>
                    <a:stretch>
                      <a:fillRect/>
                    </a:stretch>
                  </pic:blipFill>
                  <pic:spPr>
                    <a:xfrm>
                      <a:off x="0" y="0"/>
                      <a:ext cx="4015740" cy="1998980"/>
                    </a:xfrm>
                    <a:prstGeom prst="rect">
                      <a:avLst/>
                    </a:prstGeom>
                  </pic:spPr>
                </pic:pic>
              </a:graphicData>
            </a:graphic>
          </wp:inline>
        </w:drawing>
      </w:r>
    </w:p>
    <w:p w14:paraId="77EF5B31">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A．Ⅰ-2的基因型不可能为X</w:t>
      </w:r>
      <w:r>
        <w:rPr>
          <w:sz w:val="21"/>
          <w:vertAlign w:val="superscript"/>
        </w:rPr>
        <w:t>F</w:t>
      </w:r>
      <w:r>
        <w:rPr>
          <w:sz w:val="21"/>
        </w:rPr>
        <w:t>X</w:t>
      </w:r>
      <w:r>
        <w:rPr>
          <w:sz w:val="21"/>
          <w:vertAlign w:val="superscript"/>
        </w:rPr>
        <w:t>F</w:t>
      </w:r>
      <w:r>
        <w:rPr>
          <w:rFonts w:hint="eastAsia"/>
          <w:sz w:val="21"/>
          <w:vertAlign w:val="superscript"/>
          <w:lang w:val="en-US" w:eastAsia="zh-CN"/>
        </w:rPr>
        <w:t xml:space="preserve">          </w:t>
      </w:r>
      <w:r>
        <w:rPr>
          <w:sz w:val="21"/>
        </w:rPr>
        <w:t>B．含f基因的男性一定患病</w:t>
      </w:r>
    </w:p>
    <w:p w14:paraId="6626ED00">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C．含一个f基因的女性可能患病</w:t>
      </w:r>
    </w:p>
    <w:p w14:paraId="4E764FF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D．脆性X综合征的发病率需在人群中随机调查</w:t>
      </w:r>
    </w:p>
    <w:p w14:paraId="41E5433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15．植物在遭受昆虫取食等创伤时，会启动防御机制：创伤部位合成茉莉酸（JA），JA可在局部作用或运输至其他部位，与靶细胞的受体结合后，诱导蛋白酶抑制剂（PI）基因表达，从而抑制昆虫消化酶活性。为探究JA的合成与信号传递机制，研究人员利用野生型（WT）和两个突变体（m</w:t>
      </w:r>
      <w:r>
        <w:rPr>
          <w:sz w:val="21"/>
          <w:vertAlign w:val="subscript"/>
        </w:rPr>
        <w:t>1</w:t>
      </w:r>
      <w:r>
        <w:rPr>
          <w:sz w:val="21"/>
        </w:rPr>
        <w:t>、m</w:t>
      </w:r>
      <w:r>
        <w:rPr>
          <w:sz w:val="21"/>
          <w:vertAlign w:val="subscript"/>
        </w:rPr>
        <w:t>2</w:t>
      </w:r>
      <w:r>
        <w:rPr>
          <w:sz w:val="21"/>
        </w:rPr>
        <w:t>）进行嫁接实验。已知：m</w:t>
      </w:r>
      <w:r>
        <w:rPr>
          <w:sz w:val="21"/>
          <w:vertAlign w:val="subscript"/>
        </w:rPr>
        <w:t>1</w:t>
      </w:r>
      <w:r>
        <w:rPr>
          <w:sz w:val="21"/>
        </w:rPr>
        <w:t>的JA合成途径缺陷，m</w:t>
      </w:r>
      <w:r>
        <w:rPr>
          <w:sz w:val="21"/>
          <w:vertAlign w:val="subscript"/>
        </w:rPr>
        <w:t>2</w:t>
      </w:r>
      <w:r>
        <w:rPr>
          <w:sz w:val="21"/>
        </w:rPr>
        <w:t>的JA受体功能异常。实验中对不同嫁接组合（接穗/砧木）的创伤处理及PI基因mRNA相对表达量（“+”表示有表达，“+”越多表达量越高）如下表所示：</w:t>
      </w:r>
    </w:p>
    <w:tbl>
      <w:tblPr>
        <w:tblStyle w:val="4"/>
        <w:tblpPr w:leftFromText="180" w:rightFromText="180" w:vertAnchor="text" w:horzAnchor="page" w:tblpX="1975" w:tblpY="28"/>
        <w:tblOverlap w:val="never"/>
        <w:tblW w:w="7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27"/>
        <w:gridCol w:w="1263"/>
        <w:gridCol w:w="2270"/>
        <w:gridCol w:w="2270"/>
      </w:tblGrid>
      <w:tr w14:paraId="4DA91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2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3E90D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嫁接类型</w:t>
            </w:r>
          </w:p>
        </w:tc>
        <w:tc>
          <w:tcPr>
            <w:tcW w:w="126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BDA45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创伤部位</w:t>
            </w:r>
          </w:p>
        </w:tc>
        <w:tc>
          <w:tcPr>
            <w:tcW w:w="2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C9CE0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接穗叶片PI mRNA</w:t>
            </w:r>
          </w:p>
        </w:tc>
        <w:tc>
          <w:tcPr>
            <w:tcW w:w="2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5C58A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砧木叶片PI mRNA</w:t>
            </w:r>
          </w:p>
        </w:tc>
      </w:tr>
      <w:tr w14:paraId="6A41A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2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12EB1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①WT/WT</w:t>
            </w:r>
          </w:p>
        </w:tc>
        <w:tc>
          <w:tcPr>
            <w:tcW w:w="126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1D699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接穗</w:t>
            </w:r>
          </w:p>
        </w:tc>
        <w:tc>
          <w:tcPr>
            <w:tcW w:w="2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C1A5F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W w:w="2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38A26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r>
      <w:tr w14:paraId="4B3EF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2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375F6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②m</w:t>
            </w:r>
            <w:r>
              <w:rPr>
                <w:sz w:val="21"/>
                <w:vertAlign w:val="subscript"/>
              </w:rPr>
              <w:t>1</w:t>
            </w:r>
            <w:r>
              <w:rPr>
                <w:sz w:val="21"/>
              </w:rPr>
              <w:t>/WT</w:t>
            </w:r>
          </w:p>
        </w:tc>
        <w:tc>
          <w:tcPr>
            <w:tcW w:w="126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1320E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砧木</w:t>
            </w:r>
          </w:p>
        </w:tc>
        <w:tc>
          <w:tcPr>
            <w:tcW w:w="2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235C6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W w:w="2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9FD0C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r>
      <w:tr w14:paraId="29306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2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E980A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③WT/m</w:t>
            </w:r>
            <w:r>
              <w:rPr>
                <w:sz w:val="21"/>
                <w:vertAlign w:val="subscript"/>
              </w:rPr>
              <w:t>2</w:t>
            </w:r>
          </w:p>
        </w:tc>
        <w:tc>
          <w:tcPr>
            <w:tcW w:w="126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ECAA4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接穗</w:t>
            </w:r>
          </w:p>
        </w:tc>
        <w:tc>
          <w:tcPr>
            <w:tcW w:w="2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D6BE4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W w:w="2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0135E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r>
      <w:tr w14:paraId="47C1B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2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1DEEA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④m</w:t>
            </w:r>
            <w:r>
              <w:rPr>
                <w:sz w:val="21"/>
                <w:vertAlign w:val="subscript"/>
              </w:rPr>
              <w:t>2</w:t>
            </w:r>
            <w:r>
              <w:rPr>
                <w:sz w:val="21"/>
              </w:rPr>
              <w:t>/m</w:t>
            </w:r>
            <w:r>
              <w:rPr>
                <w:sz w:val="21"/>
                <w:vertAlign w:val="subscript"/>
              </w:rPr>
              <w:t>1</w:t>
            </w:r>
          </w:p>
        </w:tc>
        <w:tc>
          <w:tcPr>
            <w:tcW w:w="126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91DE8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接穗</w:t>
            </w:r>
          </w:p>
        </w:tc>
        <w:tc>
          <w:tcPr>
            <w:tcW w:w="2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5FC1E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W w:w="2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9BE93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r>
    </w:tbl>
    <w:p w14:paraId="554C30D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p w14:paraId="718F488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p w14:paraId="0A20774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p w14:paraId="4825096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p w14:paraId="4C8FE89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p w14:paraId="1ACF138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p w14:paraId="708EBB6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p w14:paraId="3A443C4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p w14:paraId="5A3EB34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下列分析错误的是（</w:t>
      </w:r>
      <w:r>
        <w:rPr>
          <w:rFonts w:ascii="Times New Roman" w:hAnsi="Times New Roman" w:eastAsia="Times New Roman" w:cs="Times New Roman"/>
          <w:kern w:val="0"/>
          <w:sz w:val="24"/>
          <w:szCs w:val="24"/>
        </w:rPr>
        <w:t>    </w:t>
      </w:r>
      <w:r>
        <w:rPr>
          <w:sz w:val="21"/>
        </w:rPr>
        <w:t>）</w:t>
      </w:r>
    </w:p>
    <w:p w14:paraId="3FCB452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A．对比①和③，可推测m</w:t>
      </w:r>
      <w:r>
        <w:rPr>
          <w:sz w:val="21"/>
          <w:vertAlign w:val="subscript"/>
        </w:rPr>
        <w:t>2</w:t>
      </w:r>
      <w:r>
        <w:rPr>
          <w:sz w:val="21"/>
        </w:rPr>
        <w:t>无法感应JA信号，导致砧木叶片PI基因不表达</w:t>
      </w:r>
    </w:p>
    <w:p w14:paraId="4E5447D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B．表中④的砧木叶片PI mRNA表达量应为“++”，因接穗m</w:t>
      </w:r>
      <w:r>
        <w:rPr>
          <w:sz w:val="21"/>
          <w:vertAlign w:val="subscript"/>
        </w:rPr>
        <w:t>2</w:t>
      </w:r>
      <w:r>
        <w:rPr>
          <w:sz w:val="21"/>
        </w:rPr>
        <w:t>合成的JA可运输至砧木m</w:t>
      </w:r>
      <w:r>
        <w:rPr>
          <w:sz w:val="21"/>
          <w:vertAlign w:val="subscript"/>
        </w:rPr>
        <w:t>1</w:t>
      </w:r>
      <w:r>
        <w:rPr>
          <w:sz w:val="21"/>
        </w:rPr>
        <w:t>并诱导表达</w:t>
      </w:r>
    </w:p>
    <w:p w14:paraId="06191B2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C．若对嫁接类型m</w:t>
      </w:r>
      <w:r>
        <w:rPr>
          <w:sz w:val="21"/>
          <w:vertAlign w:val="subscript"/>
        </w:rPr>
        <w:t>1</w:t>
      </w:r>
      <w:r>
        <w:rPr>
          <w:sz w:val="21"/>
        </w:rPr>
        <w:t>/m</w:t>
      </w:r>
      <w:r>
        <w:rPr>
          <w:sz w:val="21"/>
          <w:vertAlign w:val="subscript"/>
        </w:rPr>
        <w:t>2</w:t>
      </w:r>
      <w:r>
        <w:rPr>
          <w:sz w:val="21"/>
        </w:rPr>
        <w:t>的砧木进行创伤，接穗叶片PI mRNA仍可能有低表达，因创伤信号可局部诱导少量表达</w:t>
      </w:r>
    </w:p>
    <w:p w14:paraId="503B1669">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D．该实验体现了植物通过激素信号传递实现整体防御，是长期自然选择形成的适应性特征</w:t>
      </w:r>
    </w:p>
    <w:p w14:paraId="368F2E9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16．CRISPR/Cas9技术在遗传病治疗中展现出巨大潜力。镰刀型细胞贫血症是因β-珠蛋白基因（HBB）发生点突变所致，患者红细胞呈镰刀状。科学家计划利用CRISPR/Cas9技术治疗该疾病，流程大致为：设计靶向突变HBB基因的单链向导RNA（SgRNA），引导Cas9蛋白切割突变序列，同时导入正常HBB基因片段作为修复模板，最终使细胞表达正常β-珠蛋白。下列叙述错误的是（</w:t>
      </w:r>
      <w:r>
        <w:rPr>
          <w:rFonts w:ascii="Times New Roman" w:hAnsi="Times New Roman" w:eastAsia="Times New Roman" w:cs="Times New Roman"/>
          <w:kern w:val="0"/>
          <w:sz w:val="24"/>
          <w:szCs w:val="24"/>
        </w:rPr>
        <w:t>    </w:t>
      </w:r>
      <w:r>
        <w:rPr>
          <w:sz w:val="21"/>
        </w:rPr>
        <w:t>）</w:t>
      </w:r>
    </w:p>
    <w:p w14:paraId="1630F0EE">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A．若sgRNA与某正常基因序列存在部分碱基互补，可能导致Cas9错误切割该基因（脱靶效应）</w:t>
      </w:r>
    </w:p>
    <w:p w14:paraId="0597F91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B．Cas9切割突变HBB基因后，细胞可利用导入的正常基因片段进行修复，但该过程易受细胞内酶的影响，导致修复片段降解</w:t>
      </w:r>
    </w:p>
    <w:p w14:paraId="007DB10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C．构建重组表达载体时，需包含sgRNA基因、Cas9基因和正常HBB基因模板，无需添加启动子，需添加特定的标记基因</w:t>
      </w:r>
    </w:p>
    <w:p w14:paraId="6DB18C9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rFonts w:ascii="黑体" w:hAnsi="黑体" w:eastAsia="黑体" w:cs="黑体"/>
          <w:b/>
          <w:i w:val="0"/>
          <w:color w:val="000000"/>
          <w:sz w:val="30"/>
        </w:rPr>
      </w:pPr>
      <w:r>
        <w:rPr>
          <w:sz w:val="21"/>
        </w:rPr>
        <w:t>D．不同患者的HBB基因突变位点可能存在差异，因此需根据患者具体突变序列设计特异性sgRNA</w:t>
      </w:r>
    </w:p>
    <w:p w14:paraId="0AF40670">
      <w:pPr>
        <w:spacing w:line="360" w:lineRule="auto"/>
        <w:jc w:val="center"/>
        <w:textAlignment w:val="center"/>
        <w:rPr>
          <w:color w:val="000000"/>
        </w:rPr>
      </w:pPr>
      <w:r>
        <w:rPr>
          <w:rFonts w:ascii="宋体" w:hAnsi="宋体" w:eastAsia="宋体" w:cs="宋体"/>
          <w:b/>
          <w:color w:val="000000"/>
          <w:sz w:val="24"/>
        </w:rPr>
        <w:t>第二部分</w:t>
      </w:r>
    </w:p>
    <w:p w14:paraId="48AB437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b/>
          <w:color w:val="000000"/>
          <w:sz w:val="24"/>
        </w:rPr>
        <w:t>本部分共</w:t>
      </w:r>
      <w:r>
        <w:rPr>
          <w:rFonts w:hint="eastAsia" w:cs="Times New Roman"/>
          <w:b/>
          <w:color w:val="000000"/>
          <w:sz w:val="24"/>
          <w:lang w:val="en-US" w:eastAsia="zh-CN"/>
        </w:rPr>
        <w:t>5</w:t>
      </w:r>
      <w:r>
        <w:rPr>
          <w:rFonts w:ascii="宋体" w:hAnsi="宋体" w:eastAsia="宋体" w:cs="宋体"/>
          <w:b/>
          <w:color w:val="000000"/>
          <w:sz w:val="24"/>
        </w:rPr>
        <w:t>题，共</w:t>
      </w:r>
      <w:r>
        <w:rPr>
          <w:rFonts w:hint="eastAsia" w:cs="Times New Roman"/>
          <w:b/>
          <w:color w:val="000000"/>
          <w:sz w:val="24"/>
          <w:lang w:val="en-US" w:eastAsia="zh-CN"/>
        </w:rPr>
        <w:t>6</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75D02B9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17．植物的光呼吸是在光下消耗O</w:t>
      </w:r>
      <w:r>
        <w:rPr>
          <w:sz w:val="21"/>
          <w:vertAlign w:val="subscript"/>
        </w:rPr>
        <w:t>2</w:t>
      </w:r>
      <w:r>
        <w:rPr>
          <w:sz w:val="21"/>
        </w:rPr>
        <w:t>并释放CO</w:t>
      </w:r>
      <w:r>
        <w:rPr>
          <w:sz w:val="21"/>
          <w:vertAlign w:val="subscript"/>
        </w:rPr>
        <w:t>2</w:t>
      </w:r>
      <w:r>
        <w:rPr>
          <w:sz w:val="21"/>
        </w:rPr>
        <w:t>的过程，会导致光合作用减弱、作物减产。研究人员为获得光诱导型高产水稻，在其叶绿体内构建了一条光呼吸支路（GMA途径）。</w:t>
      </w:r>
    </w:p>
    <w:p w14:paraId="74568825">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89400" cy="2228215"/>
            <wp:effectExtent l="0" t="0" r="0" b="6985"/>
            <wp:docPr id="100019" name="图片 100019" descr="@@@e3b5aadf-7bd5-4113-b040-8a9420a4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3b5aadf-7bd5-4113-b040-8a9420a42114"/>
                    <pic:cNvPicPr>
                      <a:picLocks noChangeAspect="1"/>
                    </pic:cNvPicPr>
                  </pic:nvPicPr>
                  <pic:blipFill>
                    <a:blip r:embed="rId20"/>
                    <a:stretch>
                      <a:fillRect/>
                    </a:stretch>
                  </pic:blipFill>
                  <pic:spPr>
                    <a:xfrm>
                      <a:off x="0" y="0"/>
                      <a:ext cx="4089400" cy="2228215"/>
                    </a:xfrm>
                    <a:prstGeom prst="rect">
                      <a:avLst/>
                    </a:prstGeom>
                  </pic:spPr>
                </pic:pic>
              </a:graphicData>
            </a:graphic>
          </wp:inline>
        </w:drawing>
      </w:r>
    </w:p>
    <w:p w14:paraId="4B858D13">
      <w:pPr>
        <w:shd w:val="clear" w:color="auto" w:fill="auto"/>
        <w:spacing w:line="360" w:lineRule="auto"/>
        <w:jc w:val="left"/>
        <w:textAlignment w:val="center"/>
        <w:rPr>
          <w:sz w:val="21"/>
        </w:rPr>
      </w:pPr>
      <w:r>
        <w:rPr>
          <w:sz w:val="21"/>
        </w:rPr>
        <w:t>(1)图1所示光呼吸过程中，O</w:t>
      </w:r>
      <w:r>
        <w:rPr>
          <w:sz w:val="21"/>
          <w:vertAlign w:val="subscript"/>
        </w:rPr>
        <w:t>2</w:t>
      </w:r>
      <w:r>
        <w:rPr>
          <w:sz w:val="21"/>
        </w:rPr>
        <w:t>与CO</w:t>
      </w:r>
      <w:r>
        <w:rPr>
          <w:sz w:val="21"/>
          <w:vertAlign w:val="subscript"/>
        </w:rPr>
        <w:t>2</w:t>
      </w:r>
      <w:r>
        <w:rPr>
          <w:sz w:val="21"/>
        </w:rPr>
        <w:t>竞争结合R酶，</w:t>
      </w:r>
      <w:r>
        <w:rPr>
          <w:rFonts w:ascii="Times New Roman" w:hAnsi="Times New Roman" w:eastAsia="Times New Roman" w:cs="Times New Roman"/>
          <w:b w:val="0"/>
          <w:sz w:val="21"/>
        </w:rPr>
        <w:t>______</w:t>
      </w:r>
      <w:r>
        <w:rPr>
          <w:sz w:val="21"/>
        </w:rPr>
        <w:t>（填“抑制”或“促进”）了光合作用中的</w:t>
      </w:r>
      <w:r>
        <w:rPr>
          <w:rFonts w:ascii="Times New Roman" w:hAnsi="Times New Roman" w:eastAsia="Times New Roman" w:cs="Times New Roman"/>
          <w:b w:val="0"/>
          <w:sz w:val="21"/>
        </w:rPr>
        <w:t>______</w:t>
      </w:r>
      <w:r>
        <w:rPr>
          <w:sz w:val="21"/>
        </w:rPr>
        <w:t>反应阶段。同时</w:t>
      </w:r>
      <w:r>
        <w:rPr>
          <w:rFonts w:ascii="Times New Roman" w:hAnsi="Times New Roman" w:eastAsia="Times New Roman" w:cs="Times New Roman"/>
          <w:b w:val="0"/>
          <w:sz w:val="21"/>
        </w:rPr>
        <w:t>______</w:t>
      </w:r>
      <w:r>
        <w:rPr>
          <w:sz w:val="21"/>
        </w:rPr>
        <w:t>，造成碳流失，进而导致水稻减产。</w:t>
      </w:r>
    </w:p>
    <w:p w14:paraId="54CA5B61">
      <w:pPr>
        <w:shd w:val="clear" w:color="auto" w:fill="auto"/>
        <w:spacing w:line="360" w:lineRule="auto"/>
        <w:jc w:val="left"/>
        <w:textAlignment w:val="center"/>
        <w:rPr>
          <w:sz w:val="21"/>
        </w:rPr>
      </w:pPr>
      <w:r>
        <w:rPr>
          <w:sz w:val="21"/>
        </w:rPr>
        <w:t>(2)研究人员将外源G酶、A酶和M酶的基因导入水稻细胞，使其在光诱导下表达，并在叶绿体中发挥作用。检测发现，转基因水稻的净光合速率、植株干重等方面均高于对照组。可利用图2所示模型解释其原因，但图中存在两处错误，请改正①</w:t>
      </w:r>
      <w:r>
        <w:rPr>
          <w:rFonts w:ascii="Times New Roman" w:hAnsi="Times New Roman" w:eastAsia="Times New Roman" w:cs="Times New Roman"/>
          <w:b w:val="0"/>
          <w:sz w:val="21"/>
        </w:rPr>
        <w:t>______</w:t>
      </w:r>
      <w:r>
        <w:rPr>
          <w:sz w:val="21"/>
        </w:rPr>
        <w:t>②</w:t>
      </w:r>
      <w:r>
        <w:rPr>
          <w:rFonts w:ascii="Times New Roman" w:hAnsi="Times New Roman" w:eastAsia="Times New Roman" w:cs="Times New Roman"/>
          <w:b w:val="0"/>
          <w:sz w:val="21"/>
        </w:rPr>
        <w:t>______</w:t>
      </w:r>
      <w:r>
        <w:rPr>
          <w:sz w:val="21"/>
        </w:rPr>
        <w:t>。</w:t>
      </w:r>
    </w:p>
    <w:p w14:paraId="0C04D3A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(3)研究人员测定了转基因水稻叶片中外源G酶基因的表达量，以及G酶总表达量随时间的变化情况（图3）</w:t>
      </w:r>
    </w:p>
    <w:p w14:paraId="6F4F5701">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864485" cy="1787525"/>
            <wp:effectExtent l="0" t="0" r="5715" b="3175"/>
            <wp:docPr id="100021" name="图片 100021" descr="@@@36e46a4b-ea54-4e31-b946-85738f71aa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6e46a4b-ea54-4e31-b946-85738f71aa03"/>
                    <pic:cNvPicPr>
                      <a:picLocks noChangeAspect="1"/>
                    </pic:cNvPicPr>
                  </pic:nvPicPr>
                  <pic:blipFill>
                    <a:blip r:embed="rId21"/>
                    <a:stretch>
                      <a:fillRect/>
                    </a:stretch>
                  </pic:blipFill>
                  <pic:spPr>
                    <a:xfrm>
                      <a:off x="0" y="0"/>
                      <a:ext cx="2864485" cy="1787525"/>
                    </a:xfrm>
                    <a:prstGeom prst="rect">
                      <a:avLst/>
                    </a:prstGeom>
                  </pic:spPr>
                </pic:pic>
              </a:graphicData>
            </a:graphic>
          </wp:inline>
        </w:drawing>
      </w:r>
    </w:p>
    <w:p w14:paraId="7BAD9317">
      <w:pPr>
        <w:shd w:val="clear" w:color="auto" w:fill="auto"/>
        <w:spacing w:line="360" w:lineRule="auto"/>
        <w:jc w:val="left"/>
        <w:textAlignment w:val="center"/>
        <w:rPr>
          <w:sz w:val="21"/>
        </w:rPr>
      </w:pPr>
      <w:r>
        <w:rPr>
          <w:sz w:val="21"/>
        </w:rPr>
        <w:t>①外源G酶基因表达量与PFD（代表光合有效光辐射强度）大致呈正相关，仅在14时明显下降，由此推测外源G酶基因表达除受光强影响外，还可能受</w:t>
      </w:r>
      <w:r>
        <w:rPr>
          <w:rFonts w:ascii="Times New Roman" w:hAnsi="Times New Roman" w:eastAsia="Times New Roman" w:cs="Times New Roman"/>
          <w:b w:val="0"/>
          <w:sz w:val="21"/>
        </w:rPr>
        <w:t>______</w:t>
      </w:r>
      <w:r>
        <w:rPr>
          <w:sz w:val="21"/>
        </w:rPr>
        <w:t>（答出2点即可）等因素的影响。</w:t>
      </w:r>
    </w:p>
    <w:p w14:paraId="48778B4E">
      <w:pPr>
        <w:shd w:val="clear" w:color="auto" w:fill="auto"/>
        <w:spacing w:line="360" w:lineRule="auto"/>
        <w:jc w:val="left"/>
        <w:textAlignment w:val="center"/>
        <w:rPr>
          <w:sz w:val="21"/>
        </w:rPr>
      </w:pPr>
      <w:r>
        <w:rPr>
          <w:sz w:val="21"/>
        </w:rPr>
        <w:t>②据图3可知，12～14时</w:t>
      </w:r>
      <w:r>
        <w:rPr>
          <w:rFonts w:ascii="Times New Roman" w:hAnsi="Times New Roman" w:eastAsia="Times New Roman" w:cs="Times New Roman"/>
          <w:b w:val="0"/>
          <w:sz w:val="21"/>
        </w:rPr>
        <w:t>______</w:t>
      </w:r>
      <w:r>
        <w:rPr>
          <w:sz w:val="21"/>
        </w:rPr>
        <w:t>，推测此时段转基因水稻光呼吸增强。</w:t>
      </w:r>
    </w:p>
    <w:p w14:paraId="7C9B02DE">
      <w:pPr>
        <w:shd w:val="clear" w:color="auto" w:fill="auto"/>
        <w:spacing w:line="360" w:lineRule="auto"/>
        <w:jc w:val="left"/>
        <w:textAlignment w:val="center"/>
        <w:rPr>
          <w:sz w:val="21"/>
        </w:rPr>
      </w:pPr>
      <w:r>
        <w:rPr>
          <w:sz w:val="21"/>
        </w:rPr>
        <w:t>(4)茎中光合产物的堆积会降低水稻结实率而减产，而本研究中GMA途径的改造并未降低水稻的结实率。结合上述研究将以下说法排序成合理解释：尽管GMA途径促进叶片产生较多光合产物→</w:t>
      </w:r>
      <w:r>
        <w:rPr>
          <w:rFonts w:ascii="Times New Roman" w:hAnsi="Times New Roman" w:eastAsia="Times New Roman" w:cs="Times New Roman"/>
          <w:b w:val="0"/>
          <w:sz w:val="21"/>
        </w:rPr>
        <w:t>______</w:t>
      </w:r>
      <w:r>
        <w:rPr>
          <w:sz w:val="21"/>
        </w:rPr>
        <w:t>水稻茎中有机物不至于过度堆积而保证结实率。</w:t>
      </w:r>
    </w:p>
    <w:p w14:paraId="6DF49AF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A．光合产物可以及时运输到籽粒</w:t>
      </w:r>
    </w:p>
    <w:p w14:paraId="2C26C8F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B．光呼吸增强使得光合产物未爆发式增加</w:t>
      </w:r>
    </w:p>
    <w:p w14:paraId="1B68F57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 G酶表达量的动态变化，使中午进入GMA途径的乙醇酸未显著增加</w:t>
      </w:r>
    </w:p>
    <w:p w14:paraId="2B3A29C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18．胰岛素抵抗（IR）是指：胰岛素含量正常或高于正常，而靶器官对其敏感性低于正常的一种状态。孕妇在妊娠期发生IR是正常的生理表现，但极少数人可能发展为妊娠糖尿病（GDM）。为探究GDM的发生机制，检测了不同人群的血液指标，下表为部分检测数据。</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43"/>
        <w:gridCol w:w="1352"/>
        <w:gridCol w:w="1378"/>
        <w:gridCol w:w="1522"/>
        <w:gridCol w:w="1536"/>
        <w:gridCol w:w="1394"/>
      </w:tblGrid>
      <w:tr w14:paraId="290DB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1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D263E1">
            <w:pPr>
              <w:shd w:val="clear" w:color="auto" w:fill="auto"/>
              <w:spacing w:line="360" w:lineRule="auto"/>
              <w:jc w:val="left"/>
              <w:textAlignment w:val="center"/>
              <w:rPr>
                <w:sz w:val="21"/>
              </w:rPr>
            </w:pPr>
            <w:r>
              <w:rPr>
                <w:sz w:val="21"/>
              </w:rPr>
              <w:t>组别</w:t>
            </w:r>
          </w:p>
        </w:tc>
        <w:tc>
          <w:tcPr>
            <w:tcW w:w="136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0E066C">
            <w:pPr>
              <w:shd w:val="clear" w:color="auto" w:fill="auto"/>
              <w:spacing w:line="360" w:lineRule="auto"/>
              <w:jc w:val="left"/>
              <w:textAlignment w:val="center"/>
              <w:rPr>
                <w:sz w:val="21"/>
              </w:rPr>
            </w:pPr>
            <w:r>
              <w:rPr>
                <w:sz w:val="21"/>
              </w:rPr>
              <w:t>性激素含量（pmol/L）</w:t>
            </w:r>
          </w:p>
        </w:tc>
        <w:tc>
          <w:tcPr>
            <w:tcW w:w="5715" w:type="dxa"/>
            <w:gridSpan w:val="4"/>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06CBE0">
            <w:pPr>
              <w:shd w:val="clear" w:color="auto" w:fill="auto"/>
              <w:spacing w:line="360" w:lineRule="auto"/>
              <w:jc w:val="left"/>
              <w:textAlignment w:val="center"/>
              <w:rPr>
                <w:sz w:val="21"/>
              </w:rPr>
            </w:pPr>
            <w:r>
              <w:rPr>
                <w:sz w:val="21"/>
              </w:rPr>
              <w:t>胰岛素含量（ng/ml）</w:t>
            </w:r>
          </w:p>
        </w:tc>
      </w:tr>
      <w:tr w14:paraId="0D6B4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2BF242BF">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741E9ED7">
            <w:pPr>
              <w:shd w:val="clear" w:color="auto" w:fill="auto"/>
              <w:spacing w:line="360" w:lineRule="auto"/>
              <w:jc w:val="left"/>
              <w:textAlignment w:val="center"/>
              <w:rPr>
                <w:sz w:val="21"/>
              </w:rPr>
            </w:pP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C251F7">
            <w:pPr>
              <w:shd w:val="clear" w:color="auto" w:fill="auto"/>
              <w:spacing w:line="360" w:lineRule="auto"/>
              <w:jc w:val="left"/>
              <w:textAlignment w:val="center"/>
              <w:rPr>
                <w:sz w:val="21"/>
              </w:rPr>
            </w:pPr>
            <w:r>
              <w:rPr>
                <w:sz w:val="21"/>
              </w:rPr>
              <w:t>空腹</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EB99F6">
            <w:pPr>
              <w:shd w:val="clear" w:color="auto" w:fill="auto"/>
              <w:spacing w:line="360" w:lineRule="auto"/>
              <w:jc w:val="left"/>
              <w:textAlignment w:val="center"/>
              <w:rPr>
                <w:sz w:val="21"/>
              </w:rPr>
            </w:pPr>
            <w:r>
              <w:rPr>
                <w:sz w:val="21"/>
              </w:rPr>
              <w:t>服糖后1h</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9801F2">
            <w:pPr>
              <w:shd w:val="clear" w:color="auto" w:fill="auto"/>
              <w:spacing w:line="360" w:lineRule="auto"/>
              <w:jc w:val="left"/>
              <w:textAlignment w:val="center"/>
              <w:rPr>
                <w:sz w:val="21"/>
              </w:rPr>
            </w:pPr>
            <w:r>
              <w:rPr>
                <w:sz w:val="21"/>
              </w:rPr>
              <w:t>服糖后2h</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0BB5B2">
            <w:pPr>
              <w:shd w:val="clear" w:color="auto" w:fill="auto"/>
              <w:spacing w:line="360" w:lineRule="auto"/>
              <w:jc w:val="left"/>
              <w:textAlignment w:val="center"/>
              <w:rPr>
                <w:sz w:val="21"/>
              </w:rPr>
            </w:pPr>
            <w:r>
              <w:rPr>
                <w:sz w:val="21"/>
              </w:rPr>
              <w:t>服糖后3h</w:t>
            </w:r>
          </w:p>
        </w:tc>
      </w:tr>
      <w:tr w14:paraId="71E51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154D17">
            <w:pPr>
              <w:shd w:val="clear" w:color="auto" w:fill="auto"/>
              <w:spacing w:line="360" w:lineRule="auto"/>
              <w:jc w:val="left"/>
              <w:textAlignment w:val="center"/>
              <w:rPr>
                <w:sz w:val="21"/>
              </w:rPr>
            </w:pPr>
            <w:r>
              <w:rPr>
                <w:sz w:val="21"/>
              </w:rPr>
              <w:t>GDM组</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9D97C6">
            <w:pPr>
              <w:shd w:val="clear" w:color="auto" w:fill="auto"/>
              <w:spacing w:line="360" w:lineRule="auto"/>
              <w:jc w:val="left"/>
              <w:textAlignment w:val="center"/>
              <w:rPr>
                <w:sz w:val="21"/>
              </w:rPr>
            </w:pPr>
            <w:r>
              <w:rPr>
                <w:sz w:val="21"/>
              </w:rPr>
              <w:t>71.67±5.32</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5F4169">
            <w:pPr>
              <w:shd w:val="clear" w:color="auto" w:fill="auto"/>
              <w:spacing w:line="360" w:lineRule="auto"/>
              <w:jc w:val="left"/>
              <w:textAlignment w:val="center"/>
              <w:rPr>
                <w:sz w:val="21"/>
              </w:rPr>
            </w:pPr>
            <w:r>
              <w:rPr>
                <w:sz w:val="21"/>
              </w:rPr>
              <w:t>20.13±9.68</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645A15">
            <w:pPr>
              <w:shd w:val="clear" w:color="auto" w:fill="auto"/>
              <w:spacing w:line="360" w:lineRule="auto"/>
              <w:jc w:val="left"/>
              <w:textAlignment w:val="center"/>
              <w:rPr>
                <w:sz w:val="21"/>
              </w:rPr>
            </w:pPr>
            <w:r>
              <w:rPr>
                <w:sz w:val="21"/>
              </w:rPr>
              <w:t>83.39±25.56</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E0D968">
            <w:pPr>
              <w:shd w:val="clear" w:color="auto" w:fill="auto"/>
              <w:spacing w:line="360" w:lineRule="auto"/>
              <w:jc w:val="left"/>
              <w:textAlignment w:val="center"/>
              <w:rPr>
                <w:sz w:val="21"/>
              </w:rPr>
            </w:pPr>
            <w:r>
              <w:rPr>
                <w:sz w:val="21"/>
              </w:rPr>
              <w:t>115.35±30.12</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E955CA">
            <w:pPr>
              <w:shd w:val="clear" w:color="auto" w:fill="auto"/>
              <w:spacing w:line="360" w:lineRule="auto"/>
              <w:jc w:val="left"/>
              <w:textAlignment w:val="center"/>
              <w:rPr>
                <w:sz w:val="21"/>
              </w:rPr>
            </w:pPr>
            <w:r>
              <w:rPr>
                <w:sz w:val="21"/>
              </w:rPr>
              <w:t>80.02±24.67</w:t>
            </w:r>
          </w:p>
        </w:tc>
      </w:tr>
      <w:tr w14:paraId="59E7C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D63368">
            <w:pPr>
              <w:shd w:val="clear" w:color="auto" w:fill="auto"/>
              <w:spacing w:line="360" w:lineRule="auto"/>
              <w:jc w:val="left"/>
              <w:textAlignment w:val="center"/>
              <w:rPr>
                <w:sz w:val="21"/>
              </w:rPr>
            </w:pPr>
            <w:r>
              <w:rPr>
                <w:sz w:val="21"/>
              </w:rPr>
              <w:t>对照组</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B88474">
            <w:pPr>
              <w:shd w:val="clear" w:color="auto" w:fill="auto"/>
              <w:spacing w:line="360" w:lineRule="auto"/>
              <w:jc w:val="left"/>
              <w:textAlignment w:val="center"/>
              <w:rPr>
                <w:sz w:val="21"/>
              </w:rPr>
            </w:pPr>
            <w:r>
              <w:rPr>
                <w:sz w:val="21"/>
              </w:rPr>
              <w:t>56.82±5.51</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68375E">
            <w:pPr>
              <w:shd w:val="clear" w:color="auto" w:fill="auto"/>
              <w:spacing w:line="360" w:lineRule="auto"/>
              <w:jc w:val="left"/>
              <w:textAlignment w:val="center"/>
              <w:rPr>
                <w:sz w:val="21"/>
              </w:rPr>
            </w:pPr>
            <w:r>
              <w:rPr>
                <w:sz w:val="21"/>
              </w:rPr>
              <w:t>9.97±6.25</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559661">
            <w:pPr>
              <w:shd w:val="clear" w:color="auto" w:fill="auto"/>
              <w:spacing w:line="360" w:lineRule="auto"/>
              <w:jc w:val="left"/>
              <w:textAlignment w:val="center"/>
              <w:rPr>
                <w:sz w:val="21"/>
              </w:rPr>
            </w:pPr>
            <w:r>
              <w:rPr>
                <w:sz w:val="21"/>
              </w:rPr>
              <w:t>89.62±26.13</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55A722">
            <w:pPr>
              <w:shd w:val="clear" w:color="auto" w:fill="auto"/>
              <w:spacing w:line="360" w:lineRule="auto"/>
              <w:jc w:val="left"/>
              <w:textAlignment w:val="center"/>
              <w:rPr>
                <w:sz w:val="21"/>
              </w:rPr>
            </w:pPr>
            <w:r>
              <w:rPr>
                <w:sz w:val="21"/>
              </w:rPr>
              <w:t>66.30±18.27</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70E21">
            <w:pPr>
              <w:shd w:val="clear" w:color="auto" w:fill="auto"/>
              <w:spacing w:line="360" w:lineRule="auto"/>
              <w:jc w:val="left"/>
              <w:textAlignment w:val="center"/>
              <w:rPr>
                <w:sz w:val="21"/>
              </w:rPr>
            </w:pPr>
            <w:r>
              <w:rPr>
                <w:sz w:val="21"/>
              </w:rPr>
              <w:t>34.61±13.38</w:t>
            </w:r>
          </w:p>
        </w:tc>
      </w:tr>
      <w:tr w14:paraId="4D4B0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0841BD">
            <w:pPr>
              <w:shd w:val="clear" w:color="auto" w:fill="auto"/>
              <w:spacing w:line="360" w:lineRule="auto"/>
              <w:jc w:val="left"/>
              <w:textAlignment w:val="center"/>
              <w:rPr>
                <w:sz w:val="21"/>
              </w:rPr>
            </w:pPr>
            <w:r>
              <w:rPr>
                <w:sz w:val="21"/>
              </w:rPr>
              <w:t>P</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783223">
            <w:pPr>
              <w:shd w:val="clear" w:color="auto" w:fill="auto"/>
              <w:spacing w:line="360" w:lineRule="auto"/>
              <w:jc w:val="left"/>
              <w:textAlignment w:val="center"/>
              <w:rPr>
                <w:sz w:val="21"/>
              </w:rPr>
            </w:pPr>
            <w:r>
              <w:rPr>
                <w:sz w:val="21"/>
              </w:rPr>
              <w:t>＜0.001</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4CBDA5">
            <w:pPr>
              <w:shd w:val="clear" w:color="auto" w:fill="auto"/>
              <w:spacing w:line="360" w:lineRule="auto"/>
              <w:jc w:val="left"/>
              <w:textAlignment w:val="center"/>
              <w:rPr>
                <w:sz w:val="21"/>
              </w:rPr>
            </w:pPr>
            <w:r>
              <w:rPr>
                <w:sz w:val="21"/>
              </w:rPr>
              <w:t>＜0.001</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600683">
            <w:pPr>
              <w:shd w:val="clear" w:color="auto" w:fill="auto"/>
              <w:spacing w:line="360" w:lineRule="auto"/>
              <w:jc w:val="left"/>
              <w:textAlignment w:val="center"/>
              <w:rPr>
                <w:sz w:val="21"/>
              </w:rPr>
            </w:pPr>
            <w:r>
              <w:rPr>
                <w:sz w:val="21"/>
              </w:rPr>
              <w:t>0.220</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C3C37E">
            <w:pPr>
              <w:shd w:val="clear" w:color="auto" w:fill="auto"/>
              <w:spacing w:line="360" w:lineRule="auto"/>
              <w:jc w:val="left"/>
              <w:textAlignment w:val="center"/>
              <w:rPr>
                <w:sz w:val="21"/>
              </w:rPr>
            </w:pPr>
            <w:r>
              <w:rPr>
                <w:sz w:val="21"/>
              </w:rPr>
              <w:t>＜0.001</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B7C6FD">
            <w:pPr>
              <w:shd w:val="clear" w:color="auto" w:fill="auto"/>
              <w:spacing w:line="360" w:lineRule="auto"/>
              <w:jc w:val="left"/>
              <w:textAlignment w:val="center"/>
              <w:rPr>
                <w:sz w:val="21"/>
              </w:rPr>
            </w:pPr>
            <w:r>
              <w:rPr>
                <w:sz w:val="21"/>
              </w:rPr>
              <w:t>＜0.001</w:t>
            </w:r>
          </w:p>
        </w:tc>
      </w:tr>
    </w:tbl>
    <w:p w14:paraId="5BA5146B">
      <w:pPr>
        <w:shd w:val="clear" w:color="auto" w:fill="auto"/>
        <w:spacing w:line="360" w:lineRule="auto"/>
        <w:jc w:val="left"/>
        <w:textAlignment w:val="center"/>
        <w:rPr>
          <w:sz w:val="21"/>
        </w:rPr>
      </w:pPr>
      <w:r>
        <w:rPr>
          <w:sz w:val="21"/>
        </w:rPr>
        <w:t>注：P＜0.05表示两组数据间有显著差异</w:t>
      </w:r>
    </w:p>
    <w:p w14:paraId="4716D44E">
      <w:pPr>
        <w:shd w:val="clear" w:color="auto" w:fill="auto"/>
        <w:spacing w:line="360" w:lineRule="auto"/>
        <w:jc w:val="left"/>
        <w:textAlignment w:val="center"/>
        <w:rPr>
          <w:sz w:val="21"/>
        </w:rPr>
      </w:pPr>
      <w:r>
        <w:rPr>
          <w:sz w:val="21"/>
        </w:rPr>
        <w:t>(1)表中的对照组人群应为</w:t>
      </w:r>
      <w:r>
        <w:rPr>
          <w:rFonts w:ascii="Times New Roman" w:hAnsi="Times New Roman" w:eastAsia="Times New Roman" w:cs="Times New Roman"/>
          <w:b w:val="0"/>
          <w:sz w:val="21"/>
        </w:rPr>
        <w:t>______</w:t>
      </w:r>
      <w:r>
        <w:rPr>
          <w:sz w:val="21"/>
        </w:rPr>
        <w:t>。据表分析，孕期性激素含量与IR程度之间最可能的关系为</w:t>
      </w:r>
      <w:r>
        <w:rPr>
          <w:rFonts w:ascii="Times New Roman" w:hAnsi="Times New Roman" w:eastAsia="Times New Roman" w:cs="Times New Roman"/>
          <w:b w:val="0"/>
          <w:sz w:val="21"/>
        </w:rPr>
        <w:t>______</w:t>
      </w:r>
      <w:r>
        <w:rPr>
          <w:sz w:val="21"/>
        </w:rPr>
        <w:t>。（填“正相关”或“负相关”）</w:t>
      </w:r>
    </w:p>
    <w:p w14:paraId="78E62120">
      <w:pPr>
        <w:shd w:val="clear" w:color="auto" w:fill="auto"/>
        <w:spacing w:line="360" w:lineRule="auto"/>
        <w:jc w:val="left"/>
        <w:textAlignment w:val="center"/>
        <w:rPr>
          <w:sz w:val="21"/>
        </w:rPr>
      </w:pPr>
      <w:r>
        <w:rPr>
          <w:sz w:val="21"/>
        </w:rPr>
        <w:t>(2)服糖一小时后，测得孕妇体温略有上升，可能原因是</w:t>
      </w:r>
      <w:r>
        <w:rPr>
          <w:rFonts w:ascii="Times New Roman" w:hAnsi="Times New Roman" w:eastAsia="Times New Roman" w:cs="Times New Roman"/>
          <w:b w:val="0"/>
          <w:sz w:val="21"/>
        </w:rPr>
        <w:t>______</w:t>
      </w:r>
      <w:r>
        <w:rPr>
          <w:sz w:val="21"/>
        </w:rPr>
        <w:t>。</w:t>
      </w:r>
    </w:p>
    <w:p w14:paraId="396EEF7A">
      <w:pPr>
        <w:shd w:val="clear" w:color="auto" w:fill="auto"/>
        <w:spacing w:line="360" w:lineRule="auto"/>
        <w:jc w:val="left"/>
        <w:textAlignment w:val="center"/>
        <w:rPr>
          <w:sz w:val="21"/>
        </w:rPr>
      </w:pPr>
      <w:r>
        <w:rPr>
          <w:sz w:val="21"/>
        </w:rPr>
        <w:t>研究发现，SHBG是肝脏合成并分泌的一种糖蛋白，能特异性结合游离性激素，抑制性激素与受体的结合。目前认为GDM的发生与SHBG分泌量有关，其相关关系如图。</w:t>
      </w:r>
    </w:p>
    <w:p w14:paraId="694584AA">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14650" cy="1571625"/>
            <wp:effectExtent l="0" t="0" r="6350" b="3175"/>
            <wp:docPr id="100023" name="图片 100023" descr="@@@9103104ece6b41eb8f7924c8ae4a2d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9103104ece6b41eb8f7924c8ae4a2ddd"/>
                    <pic:cNvPicPr>
                      <a:picLocks noChangeAspect="1"/>
                    </pic:cNvPicPr>
                  </pic:nvPicPr>
                  <pic:blipFill>
                    <a:blip r:embed="rId22"/>
                    <a:stretch>
                      <a:fillRect/>
                    </a:stretch>
                  </pic:blipFill>
                  <pic:spPr>
                    <a:xfrm>
                      <a:off x="0" y="0"/>
                      <a:ext cx="2914650" cy="1571625"/>
                    </a:xfrm>
                    <a:prstGeom prst="rect">
                      <a:avLst/>
                    </a:prstGeom>
                  </pic:spPr>
                </pic:pic>
              </a:graphicData>
            </a:graphic>
          </wp:inline>
        </w:drawing>
      </w:r>
    </w:p>
    <w:p w14:paraId="39158F38">
      <w:pPr>
        <w:shd w:val="clear" w:color="auto" w:fill="auto"/>
        <w:spacing w:line="360" w:lineRule="auto"/>
        <w:jc w:val="left"/>
        <w:textAlignment w:val="center"/>
        <w:rPr>
          <w:sz w:val="21"/>
        </w:rPr>
      </w:pPr>
      <w:r>
        <w:rPr>
          <w:sz w:val="21"/>
        </w:rPr>
        <w:t>(3)综上表明，SHBG分泌</w:t>
      </w:r>
      <w:r>
        <w:rPr>
          <w:rFonts w:ascii="Times New Roman" w:hAnsi="Times New Roman" w:eastAsia="Times New Roman" w:cs="Times New Roman"/>
          <w:b w:val="0"/>
          <w:sz w:val="21"/>
        </w:rPr>
        <w:t>______</w:t>
      </w:r>
      <w:r>
        <w:rPr>
          <w:sz w:val="21"/>
        </w:rPr>
        <w:t>（填“增加”或“减少”）会加剧IR程度，引发恶性循环导致GDM。其机理为</w:t>
      </w:r>
      <w:r>
        <w:rPr>
          <w:rFonts w:ascii="Times New Roman" w:hAnsi="Times New Roman" w:eastAsia="Times New Roman" w:cs="Times New Roman"/>
          <w:b w:val="0"/>
          <w:sz w:val="21"/>
        </w:rPr>
        <w:t>______</w:t>
      </w:r>
      <w:r>
        <w:rPr>
          <w:sz w:val="21"/>
        </w:rPr>
        <w:t>。</w:t>
      </w:r>
    </w:p>
    <w:p w14:paraId="48E1ED96">
      <w:pPr>
        <w:shd w:val="clear" w:color="auto" w:fill="auto"/>
        <w:spacing w:line="360" w:lineRule="auto"/>
        <w:jc w:val="left"/>
        <w:textAlignment w:val="center"/>
        <w:rPr>
          <w:sz w:val="21"/>
        </w:rPr>
      </w:pPr>
      <w:r>
        <w:rPr>
          <w:sz w:val="21"/>
        </w:rPr>
        <w:t>(4)为避免GDM，请你提出一项简单易行的措施</w:t>
      </w:r>
      <w:r>
        <w:rPr>
          <w:rFonts w:ascii="Times New Roman" w:hAnsi="Times New Roman" w:eastAsia="Times New Roman" w:cs="Times New Roman"/>
          <w:b w:val="0"/>
          <w:sz w:val="21"/>
        </w:rPr>
        <w:t>______</w:t>
      </w:r>
      <w:r>
        <w:rPr>
          <w:sz w:val="21"/>
        </w:rPr>
        <w:t>。</w:t>
      </w:r>
    </w:p>
    <w:p w14:paraId="07823AE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19．广东省某沿海分布着不同潮间带群落：低潮带（日均淹水12小时）以白骨壤为主，中潮带（日均淹水8小时）以桐花树为主，高潮带（日均淹水4小时）以秋茄为主。β多样性是衡量这些群落间物种组成差异的指标，其计算公式为：β=（群落a独有物种数+群落b独有物种数）/（群落a物种数+群落b物种数）。某研究团队调查数据如下：</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870"/>
        <w:gridCol w:w="1290"/>
      </w:tblGrid>
      <w:tr w14:paraId="1D0BE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0A3D51">
            <w:pPr>
              <w:shd w:val="clear" w:color="auto" w:fill="auto"/>
              <w:spacing w:line="360" w:lineRule="auto"/>
              <w:jc w:val="left"/>
              <w:textAlignment w:val="center"/>
              <w:rPr>
                <w:sz w:val="21"/>
              </w:rPr>
            </w:pPr>
            <w:r>
              <w:rPr>
                <w:sz w:val="21"/>
              </w:rPr>
              <w:t>群落类型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E7CDC5">
            <w:pPr>
              <w:shd w:val="clear" w:color="auto" w:fill="auto"/>
              <w:spacing w:line="360" w:lineRule="auto"/>
              <w:jc w:val="left"/>
              <w:textAlignment w:val="center"/>
              <w:rPr>
                <w:sz w:val="21"/>
              </w:rPr>
            </w:pPr>
            <w:r>
              <w:rPr>
                <w:sz w:val="21"/>
              </w:rPr>
              <w:t>物种数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10C14D">
            <w:pPr>
              <w:shd w:val="clear" w:color="auto" w:fill="auto"/>
              <w:spacing w:line="360" w:lineRule="auto"/>
              <w:jc w:val="left"/>
              <w:textAlignment w:val="center"/>
              <w:rPr>
                <w:sz w:val="21"/>
              </w:rPr>
            </w:pPr>
            <w:r>
              <w:rPr>
                <w:sz w:val="21"/>
              </w:rPr>
              <w:t>独有物种数</w:t>
            </w:r>
          </w:p>
        </w:tc>
      </w:tr>
      <w:tr w14:paraId="3F444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B55472">
            <w:pPr>
              <w:shd w:val="clear" w:color="auto" w:fill="auto"/>
              <w:spacing w:line="360" w:lineRule="auto"/>
              <w:jc w:val="left"/>
              <w:textAlignment w:val="center"/>
              <w:rPr>
                <w:sz w:val="21"/>
              </w:rPr>
            </w:pPr>
            <w:r>
              <w:rPr>
                <w:sz w:val="21"/>
              </w:rPr>
              <w:t>低潮带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BB4DC6">
            <w:pPr>
              <w:shd w:val="clear" w:color="auto" w:fill="auto"/>
              <w:spacing w:line="360" w:lineRule="auto"/>
              <w:jc w:val="left"/>
              <w:textAlignment w:val="center"/>
              <w:rPr>
                <w:sz w:val="21"/>
              </w:rPr>
            </w:pPr>
            <w:r>
              <w:rPr>
                <w:sz w:val="21"/>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D4A98E">
            <w:pPr>
              <w:shd w:val="clear" w:color="auto" w:fill="auto"/>
              <w:spacing w:line="360" w:lineRule="auto"/>
              <w:jc w:val="left"/>
              <w:textAlignment w:val="center"/>
              <w:rPr>
                <w:sz w:val="21"/>
              </w:rPr>
            </w:pPr>
            <w:r>
              <w:rPr>
                <w:sz w:val="21"/>
              </w:rPr>
              <w:t>8</w:t>
            </w:r>
          </w:p>
        </w:tc>
      </w:tr>
      <w:tr w14:paraId="73470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73B4B9">
            <w:pPr>
              <w:shd w:val="clear" w:color="auto" w:fill="auto"/>
              <w:spacing w:line="360" w:lineRule="auto"/>
              <w:jc w:val="left"/>
              <w:textAlignment w:val="center"/>
              <w:rPr>
                <w:sz w:val="21"/>
              </w:rPr>
            </w:pPr>
            <w:r>
              <w:rPr>
                <w:sz w:val="21"/>
              </w:rPr>
              <w:t>中潮带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0C4341">
            <w:pPr>
              <w:shd w:val="clear" w:color="auto" w:fill="auto"/>
              <w:spacing w:line="360" w:lineRule="auto"/>
              <w:jc w:val="left"/>
              <w:textAlignment w:val="center"/>
              <w:rPr>
                <w:sz w:val="21"/>
              </w:rPr>
            </w:pPr>
            <w:r>
              <w:rPr>
                <w:sz w:val="21"/>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D870E8">
            <w:pPr>
              <w:shd w:val="clear" w:color="auto" w:fill="auto"/>
              <w:spacing w:line="360" w:lineRule="auto"/>
              <w:jc w:val="left"/>
              <w:textAlignment w:val="center"/>
              <w:rPr>
                <w:sz w:val="21"/>
              </w:rPr>
            </w:pPr>
            <w:r>
              <w:rPr>
                <w:sz w:val="21"/>
              </w:rPr>
              <w:t>5</w:t>
            </w:r>
          </w:p>
        </w:tc>
      </w:tr>
      <w:tr w14:paraId="25C49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9C5D45">
            <w:pPr>
              <w:shd w:val="clear" w:color="auto" w:fill="auto"/>
              <w:spacing w:line="360" w:lineRule="auto"/>
              <w:jc w:val="left"/>
              <w:textAlignment w:val="center"/>
              <w:rPr>
                <w:sz w:val="21"/>
              </w:rPr>
            </w:pPr>
            <w:r>
              <w:rPr>
                <w:sz w:val="21"/>
              </w:rPr>
              <w:t>高潮带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30B40E">
            <w:pPr>
              <w:shd w:val="clear" w:color="auto" w:fill="auto"/>
              <w:spacing w:line="360" w:lineRule="auto"/>
              <w:jc w:val="left"/>
              <w:textAlignment w:val="center"/>
              <w:rPr>
                <w:sz w:val="21"/>
              </w:rPr>
            </w:pPr>
            <w:r>
              <w:rPr>
                <w:sz w:val="21"/>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A64610">
            <w:pPr>
              <w:shd w:val="clear" w:color="auto" w:fill="auto"/>
              <w:spacing w:line="360" w:lineRule="auto"/>
              <w:jc w:val="left"/>
              <w:textAlignment w:val="center"/>
              <w:rPr>
                <w:sz w:val="21"/>
              </w:rPr>
            </w:pPr>
            <w:r>
              <w:rPr>
                <w:sz w:val="21"/>
              </w:rPr>
              <w:t>3</w:t>
            </w:r>
          </w:p>
        </w:tc>
      </w:tr>
    </w:tbl>
    <w:p w14:paraId="35B12C01">
      <w:pPr>
        <w:shd w:val="clear" w:color="auto" w:fill="auto"/>
        <w:spacing w:line="360" w:lineRule="auto"/>
        <w:jc w:val="left"/>
        <w:textAlignment w:val="center"/>
        <w:rPr>
          <w:sz w:val="21"/>
        </w:rPr>
      </w:pPr>
      <w:r>
        <w:rPr>
          <w:sz w:val="21"/>
        </w:rPr>
        <w:t>(1)不同潮间带分布不同红树植物，体现了群落的</w:t>
      </w:r>
      <w:r>
        <w:rPr>
          <w:rFonts w:ascii="Times New Roman" w:hAnsi="Times New Roman" w:eastAsia="Times New Roman" w:cs="Times New Roman"/>
          <w:b w:val="0"/>
          <w:sz w:val="21"/>
        </w:rPr>
        <w:t>______</w:t>
      </w:r>
      <w:r>
        <w:rPr>
          <w:sz w:val="21"/>
        </w:rPr>
        <w:t>结构，从生态位角度分析，这种分布的意义是</w:t>
      </w:r>
      <w:r>
        <w:rPr>
          <w:rFonts w:ascii="Times New Roman" w:hAnsi="Times New Roman" w:eastAsia="Times New Roman" w:cs="Times New Roman"/>
          <w:b w:val="0"/>
          <w:sz w:val="21"/>
        </w:rPr>
        <w:t>______</w:t>
      </w:r>
      <w:r>
        <w:rPr>
          <w:sz w:val="21"/>
        </w:rPr>
        <w:t>。</w:t>
      </w:r>
    </w:p>
    <w:p w14:paraId="3FDC16AE">
      <w:pPr>
        <w:shd w:val="clear" w:color="auto" w:fill="auto"/>
        <w:spacing w:line="360" w:lineRule="auto"/>
        <w:jc w:val="left"/>
        <w:textAlignment w:val="center"/>
        <w:rPr>
          <w:sz w:val="21"/>
        </w:rPr>
      </w:pPr>
      <w:r>
        <w:rPr>
          <w:sz w:val="21"/>
        </w:rPr>
        <w:t>(2)计算低潮带与中潮带的β多样性为</w:t>
      </w:r>
      <w:r>
        <w:rPr>
          <w:rFonts w:ascii="Times New Roman" w:hAnsi="Times New Roman" w:eastAsia="Times New Roman" w:cs="Times New Roman"/>
          <w:b w:val="0"/>
          <w:sz w:val="21"/>
        </w:rPr>
        <w:t>______</w:t>
      </w:r>
      <w:r>
        <w:rPr>
          <w:sz w:val="21"/>
        </w:rPr>
        <w:t>（保留小数点后两位）。β多样性高的群落抵抗外界干扰的能力更强，从生态系统稳定性角度分析，原因是</w:t>
      </w:r>
      <w:r>
        <w:rPr>
          <w:rFonts w:ascii="Times New Roman" w:hAnsi="Times New Roman" w:eastAsia="Times New Roman" w:cs="Times New Roman"/>
          <w:b w:val="0"/>
          <w:sz w:val="21"/>
        </w:rPr>
        <w:t>______</w:t>
      </w:r>
      <w:r>
        <w:rPr>
          <w:sz w:val="21"/>
        </w:rPr>
        <w:t>。</w:t>
      </w:r>
    </w:p>
    <w:p w14:paraId="011CE3B9">
      <w:pPr>
        <w:shd w:val="clear" w:color="auto" w:fill="auto"/>
        <w:spacing w:line="360" w:lineRule="auto"/>
        <w:jc w:val="left"/>
        <w:textAlignment w:val="center"/>
        <w:rPr>
          <w:sz w:val="21"/>
        </w:rPr>
      </w:pPr>
      <w:r>
        <w:rPr>
          <w:sz w:val="21"/>
        </w:rPr>
        <w:t>(3)为探究淹水时间对红树植物幼苗生长的影响，实验设计如下：选取白骨壤、桐花树、秋茄幼苗各20株，分别设置日均淹水4小时、8小时、12小时三组处理，测定株高增长率。</w:t>
      </w:r>
    </w:p>
    <w:p w14:paraId="615E5BD7">
      <w:pPr>
        <w:shd w:val="clear" w:color="auto" w:fill="auto"/>
        <w:spacing w:line="360" w:lineRule="auto"/>
        <w:jc w:val="left"/>
        <w:textAlignment w:val="center"/>
        <w:rPr>
          <w:sz w:val="21"/>
        </w:rPr>
      </w:pPr>
      <w:r>
        <w:rPr>
          <w:sz w:val="21"/>
        </w:rPr>
        <w:t>①本实验的自变量是</w:t>
      </w:r>
      <w:r>
        <w:rPr>
          <w:rFonts w:ascii="Times New Roman" w:hAnsi="Times New Roman" w:eastAsia="Times New Roman" w:cs="Times New Roman"/>
          <w:b w:val="0"/>
          <w:sz w:val="21"/>
        </w:rPr>
        <w:t>______</w:t>
      </w:r>
      <w:r>
        <w:rPr>
          <w:sz w:val="21"/>
        </w:rPr>
        <w:t>。</w:t>
      </w:r>
    </w:p>
    <w:p w14:paraId="37065136">
      <w:pPr>
        <w:shd w:val="clear" w:color="auto" w:fill="auto"/>
        <w:spacing w:line="360" w:lineRule="auto"/>
        <w:jc w:val="left"/>
        <w:textAlignment w:val="center"/>
        <w:rPr>
          <w:sz w:val="21"/>
        </w:rPr>
      </w:pPr>
      <w:r>
        <w:rPr>
          <w:sz w:val="21"/>
        </w:rPr>
        <w:t>②若白骨壤在12小时组生长最好，秋茄在4小时组生长最好，说明</w:t>
      </w:r>
      <w:r>
        <w:rPr>
          <w:rFonts w:ascii="Times New Roman" w:hAnsi="Times New Roman" w:eastAsia="Times New Roman" w:cs="Times New Roman"/>
          <w:b w:val="0"/>
          <w:sz w:val="21"/>
        </w:rPr>
        <w:t>______</w:t>
      </w:r>
      <w:r>
        <w:rPr>
          <w:sz w:val="21"/>
        </w:rPr>
        <w:t>。</w:t>
      </w:r>
    </w:p>
    <w:p w14:paraId="631154B7">
      <w:pPr>
        <w:shd w:val="clear" w:color="auto" w:fill="auto"/>
        <w:spacing w:line="360" w:lineRule="auto"/>
        <w:jc w:val="left"/>
        <w:textAlignment w:val="center"/>
        <w:rPr>
          <w:sz w:val="21"/>
        </w:rPr>
      </w:pPr>
      <w:r>
        <w:rPr>
          <w:sz w:val="21"/>
        </w:rPr>
        <w:t>(4)近年来，该区域部分潮间带β多样性下降。提出一项可能的原因：</w:t>
      </w:r>
      <w:r>
        <w:rPr>
          <w:rFonts w:ascii="Times New Roman" w:hAnsi="Times New Roman" w:eastAsia="Times New Roman" w:cs="Times New Roman"/>
          <w:b w:val="0"/>
          <w:sz w:val="21"/>
        </w:rPr>
        <w:t>______</w:t>
      </w:r>
      <w:r>
        <w:rPr>
          <w:sz w:val="21"/>
        </w:rPr>
        <w:t>。</w:t>
      </w:r>
    </w:p>
    <w:p w14:paraId="60E8CC2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20．某自花传粉农作物的抗病与易感病由等位基因A/a控制，高秆（易倒伏）与矮秆（抗倒伏）由等位基因B/b控制。调查发现，抗病植株均易倒伏，抗倒伏植株均易感病。为培育纯合抗病、矮秆植株，现选择抗病、高秆植株和易感病、矮秆植株杂交得F</w:t>
      </w:r>
      <w:r>
        <w:rPr>
          <w:sz w:val="21"/>
          <w:vertAlign w:val="subscript"/>
        </w:rPr>
        <w:t>1</w:t>
      </w:r>
      <w:r>
        <w:rPr>
          <w:sz w:val="21"/>
        </w:rPr>
        <w:t>，F</w:t>
      </w:r>
      <w:r>
        <w:rPr>
          <w:sz w:val="21"/>
          <w:vertAlign w:val="subscript"/>
        </w:rPr>
        <w:t>1</w:t>
      </w:r>
      <w:r>
        <w:rPr>
          <w:sz w:val="21"/>
        </w:rPr>
        <w:t>均为抗病、高秆植株，F</w:t>
      </w:r>
      <w:r>
        <w:rPr>
          <w:sz w:val="21"/>
          <w:vertAlign w:val="subscript"/>
        </w:rPr>
        <w:t>1</w:t>
      </w:r>
      <w:r>
        <w:rPr>
          <w:sz w:val="21"/>
        </w:rPr>
        <w:t>自交得F</w:t>
      </w:r>
      <w:r>
        <w:rPr>
          <w:sz w:val="21"/>
          <w:vertAlign w:val="subscript"/>
        </w:rPr>
        <w:t>2</w:t>
      </w:r>
      <w:r>
        <w:rPr>
          <w:sz w:val="21"/>
        </w:rPr>
        <w:t>不考虑突变和致死，回答下列问题：</w:t>
      </w:r>
    </w:p>
    <w:p w14:paraId="74DEF3F4">
      <w:pPr>
        <w:shd w:val="clear" w:color="auto" w:fill="auto"/>
        <w:spacing w:line="360" w:lineRule="auto"/>
        <w:jc w:val="left"/>
        <w:textAlignment w:val="center"/>
        <w:rPr>
          <w:sz w:val="21"/>
        </w:rPr>
      </w:pPr>
      <w:r>
        <w:rPr>
          <w:sz w:val="21"/>
        </w:rPr>
        <w:t>(1)两对相对性状中的隐性性状分别为</w:t>
      </w:r>
      <w:r>
        <w:rPr>
          <w:rFonts w:ascii="Times New Roman" w:hAnsi="Times New Roman" w:eastAsia="Times New Roman" w:cs="Times New Roman"/>
          <w:b w:val="0"/>
          <w:sz w:val="21"/>
        </w:rPr>
        <w:t>______</w:t>
      </w:r>
      <w:r>
        <w:rPr>
          <w:sz w:val="21"/>
        </w:rPr>
        <w:t>，F</w:t>
      </w:r>
      <w:r>
        <w:rPr>
          <w:sz w:val="21"/>
          <w:vertAlign w:val="subscript"/>
        </w:rPr>
        <w:t>1</w:t>
      </w:r>
      <w:r>
        <w:rPr>
          <w:sz w:val="21"/>
        </w:rPr>
        <w:t>的基因型为</w:t>
      </w:r>
      <w:r>
        <w:rPr>
          <w:rFonts w:ascii="Times New Roman" w:hAnsi="Times New Roman" w:eastAsia="Times New Roman" w:cs="Times New Roman"/>
          <w:b w:val="0"/>
          <w:sz w:val="21"/>
        </w:rPr>
        <w:t>______</w:t>
      </w:r>
      <w:r>
        <w:rPr>
          <w:sz w:val="21"/>
        </w:rPr>
        <w:t>。</w:t>
      </w:r>
    </w:p>
    <w:p w14:paraId="7D0FC4B8">
      <w:pPr>
        <w:shd w:val="clear" w:color="auto" w:fill="auto"/>
        <w:spacing w:line="360" w:lineRule="auto"/>
        <w:jc w:val="left"/>
        <w:textAlignment w:val="center"/>
        <w:rPr>
          <w:sz w:val="21"/>
        </w:rPr>
      </w:pPr>
      <w:r>
        <w:rPr>
          <w:sz w:val="21"/>
        </w:rPr>
        <w:t>(2)甲研究小组发现F</w:t>
      </w:r>
      <w:r>
        <w:rPr>
          <w:sz w:val="21"/>
          <w:vertAlign w:val="subscript"/>
        </w:rPr>
        <w:t>2</w:t>
      </w:r>
      <w:r>
        <w:rPr>
          <w:sz w:val="21"/>
        </w:rPr>
        <w:t>中抗病、矮秆植株所占比例为9%。据此推测两对基因和染色体的位置关系为</w:t>
      </w:r>
      <w:r>
        <w:rPr>
          <w:rFonts w:ascii="Times New Roman" w:hAnsi="Times New Roman" w:eastAsia="Times New Roman" w:cs="Times New Roman"/>
          <w:b w:val="0"/>
          <w:sz w:val="21"/>
        </w:rPr>
        <w:t>______</w:t>
      </w:r>
      <w:r>
        <w:rPr>
          <w:sz w:val="21"/>
        </w:rPr>
        <w:t>。该研究小组随机对F</w:t>
      </w:r>
      <w:r>
        <w:rPr>
          <w:sz w:val="21"/>
          <w:vertAlign w:val="subscript"/>
        </w:rPr>
        <w:t>1</w:t>
      </w:r>
      <w:r>
        <w:rPr>
          <w:sz w:val="21"/>
        </w:rPr>
        <w:t>产生的20个花粉的有关基因（A/a、B/b）进行PCR扩增后，电泳结果如图1所示（花粉的基因组成种类和比例与F</w:t>
      </w:r>
      <w:r>
        <w:rPr>
          <w:sz w:val="21"/>
          <w:vertAlign w:val="subscript"/>
        </w:rPr>
        <w:t>1</w:t>
      </w:r>
      <w:r>
        <w:rPr>
          <w:sz w:val="21"/>
        </w:rPr>
        <w:t>植株理论上产生的配子的基因组成种类和比例相同）。结合图1分析，F</w:t>
      </w:r>
      <w:r>
        <w:rPr>
          <w:sz w:val="21"/>
          <w:vertAlign w:val="subscript"/>
        </w:rPr>
        <w:t>2</w:t>
      </w:r>
      <w:r>
        <w:rPr>
          <w:sz w:val="21"/>
        </w:rPr>
        <w:t>中抗病、矮秆植株所占比例约为9%的原因是</w:t>
      </w:r>
      <w:r>
        <w:rPr>
          <w:rFonts w:ascii="Times New Roman" w:hAnsi="Times New Roman" w:eastAsia="Times New Roman" w:cs="Times New Roman"/>
          <w:b w:val="0"/>
          <w:sz w:val="21"/>
        </w:rPr>
        <w:t>______</w:t>
      </w:r>
      <w:r>
        <w:rPr>
          <w:sz w:val="21"/>
        </w:rPr>
        <w:t>。</w:t>
      </w:r>
    </w:p>
    <w:p w14:paraId="0B62BBDD">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96995" cy="1109345"/>
            <wp:effectExtent l="0" t="0" r="1905" b="8255"/>
            <wp:docPr id="100025" name="图片 100025" descr="@@@fa1f890b-c5e0-466a-a93b-921d5f0ee2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a1f890b-c5e0-466a-a93b-921d5f0ee2ad"/>
                    <pic:cNvPicPr>
                      <a:picLocks noChangeAspect="1"/>
                    </pic:cNvPicPr>
                  </pic:nvPicPr>
                  <pic:blipFill>
                    <a:blip r:embed="rId23"/>
                    <a:stretch>
                      <a:fillRect/>
                    </a:stretch>
                  </pic:blipFill>
                  <pic:spPr>
                    <a:xfrm>
                      <a:off x="0" y="0"/>
                      <a:ext cx="3896995" cy="1109345"/>
                    </a:xfrm>
                    <a:prstGeom prst="rect">
                      <a:avLst/>
                    </a:prstGeom>
                  </pic:spPr>
                </pic:pic>
              </a:graphicData>
            </a:graphic>
          </wp:inline>
        </w:drawing>
      </w:r>
    </w:p>
    <w:p w14:paraId="719B0766">
      <w:pPr>
        <w:shd w:val="clear" w:color="auto" w:fill="auto"/>
        <w:spacing w:line="360" w:lineRule="auto"/>
        <w:jc w:val="left"/>
        <w:textAlignment w:val="center"/>
        <w:rPr>
          <w:sz w:val="21"/>
        </w:rPr>
      </w:pPr>
      <w:r>
        <w:rPr>
          <w:sz w:val="21"/>
        </w:rPr>
        <w:t>(3)乙研究小组通过转基因技术将抗虫基因（D）导入到F</w:t>
      </w:r>
      <w:r>
        <w:rPr>
          <w:sz w:val="21"/>
          <w:vertAlign w:val="subscript"/>
        </w:rPr>
        <w:t>2</w:t>
      </w:r>
      <w:r>
        <w:rPr>
          <w:sz w:val="21"/>
        </w:rPr>
        <w:t>的抗病、矮秆植株中，并从中筛选出单一插入D基因的①、②、③三株植株，从①、②植株的自交后代中分别选择多株抗病植株，对其D基因进行PCR扩增，电泳结果如图2（不考虑减数分裂时片段交换）。据下表分析，植株②的基因型是</w:t>
      </w:r>
      <w:r>
        <w:rPr>
          <w:rFonts w:ascii="Times New Roman" w:hAnsi="Times New Roman" w:eastAsia="Times New Roman" w:cs="Times New Roman"/>
          <w:b w:val="0"/>
          <w:sz w:val="21"/>
        </w:rPr>
        <w:t>______</w:t>
      </w:r>
      <w:r>
        <w:rPr>
          <w:sz w:val="21"/>
        </w:rPr>
        <w:t>（用A/a、B/b、D表示）。若植株③相关基因在染色体上分布情况如图2所示，则其自交子代中，抗病、矮秆、抗虫植株所占比例为</w:t>
      </w:r>
      <w:r>
        <w:rPr>
          <w:rFonts w:ascii="Times New Roman" w:hAnsi="Times New Roman" w:eastAsia="Times New Roman" w:cs="Times New Roman"/>
          <w:b w:val="0"/>
          <w:sz w:val="21"/>
        </w:rPr>
        <w:t>______</w:t>
      </w:r>
      <w:r>
        <w:rPr>
          <w:sz w:val="21"/>
        </w:rPr>
        <w:t>。</w:t>
      </w:r>
    </w:p>
    <w:tbl>
      <w:tblPr>
        <w:tblStyle w:val="4"/>
        <w:tblW w:w="82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20"/>
        <w:gridCol w:w="990"/>
        <w:gridCol w:w="915"/>
        <w:gridCol w:w="945"/>
        <w:gridCol w:w="945"/>
        <w:gridCol w:w="945"/>
        <w:gridCol w:w="945"/>
        <w:gridCol w:w="945"/>
      </w:tblGrid>
      <w:tr w14:paraId="2D78C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310809">
            <w:pPr>
              <w:shd w:val="clear" w:color="auto" w:fill="auto"/>
              <w:spacing w:line="360" w:lineRule="auto"/>
              <w:jc w:val="left"/>
              <w:textAlignment w:val="center"/>
              <w:rPr>
                <w:sz w:val="21"/>
              </w:rPr>
            </w:pPr>
            <w:r>
              <w:rPr>
                <w:sz w:val="21"/>
              </w:rPr>
              <w:t>自交后代编号</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BA0436">
            <w:pPr>
              <w:shd w:val="clear" w:color="auto" w:fill="auto"/>
              <w:spacing w:line="360" w:lineRule="auto"/>
              <w:jc w:val="left"/>
              <w:textAlignment w:val="center"/>
              <w:rPr>
                <w:sz w:val="21"/>
              </w:rPr>
            </w:pPr>
            <w:r>
              <w:rPr>
                <w:sz w:val="21"/>
              </w:rPr>
              <w:t>1</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6E2059">
            <w:pPr>
              <w:shd w:val="clear" w:color="auto" w:fill="auto"/>
              <w:spacing w:line="360" w:lineRule="auto"/>
              <w:jc w:val="left"/>
              <w:textAlignment w:val="center"/>
              <w:rPr>
                <w:sz w:val="21"/>
              </w:rPr>
            </w:pPr>
            <w:r>
              <w:rPr>
                <w:sz w:val="21"/>
              </w:rPr>
              <w:t>2</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F7CF04">
            <w:pPr>
              <w:shd w:val="clear" w:color="auto" w:fill="auto"/>
              <w:spacing w:line="360" w:lineRule="auto"/>
              <w:jc w:val="left"/>
              <w:textAlignment w:val="center"/>
              <w:rPr>
                <w:sz w:val="21"/>
              </w:rPr>
            </w:pPr>
            <w:r>
              <w:rPr>
                <w:sz w:val="21"/>
              </w:rPr>
              <w:t>3</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1DA154">
            <w:pPr>
              <w:shd w:val="clear" w:color="auto" w:fill="auto"/>
              <w:spacing w:line="360" w:lineRule="auto"/>
              <w:jc w:val="left"/>
              <w:textAlignment w:val="center"/>
              <w:rPr>
                <w:sz w:val="21"/>
              </w:rPr>
            </w:pPr>
            <w:r>
              <w:rPr>
                <w:sz w:val="21"/>
              </w:rPr>
              <w:t>4</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41AE96">
            <w:pPr>
              <w:shd w:val="clear" w:color="auto" w:fill="auto"/>
              <w:spacing w:line="360" w:lineRule="auto"/>
              <w:jc w:val="left"/>
              <w:textAlignment w:val="center"/>
              <w:rPr>
                <w:sz w:val="21"/>
              </w:rPr>
            </w:pPr>
            <w:r>
              <w:rPr>
                <w:sz w:val="21"/>
              </w:rPr>
              <w:t>5</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0D5BD5">
            <w:pPr>
              <w:shd w:val="clear" w:color="auto" w:fill="auto"/>
              <w:spacing w:line="360" w:lineRule="auto"/>
              <w:jc w:val="left"/>
              <w:textAlignment w:val="center"/>
              <w:rPr>
                <w:sz w:val="21"/>
              </w:rPr>
            </w:pPr>
            <w:r>
              <w:rPr>
                <w:sz w:val="21"/>
              </w:rPr>
              <w:t>6</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0DFDB8">
            <w:pPr>
              <w:shd w:val="clear" w:color="auto" w:fill="auto"/>
              <w:spacing w:line="360" w:lineRule="auto"/>
              <w:jc w:val="left"/>
              <w:textAlignment w:val="center"/>
              <w:rPr>
                <w:sz w:val="21"/>
              </w:rPr>
            </w:pPr>
            <w:r>
              <w:rPr>
                <w:sz w:val="21"/>
              </w:rPr>
              <w:t>…</w:t>
            </w:r>
          </w:p>
        </w:tc>
      </w:tr>
      <w:tr w14:paraId="4FD8B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961439">
            <w:pPr>
              <w:shd w:val="clear" w:color="auto" w:fill="auto"/>
              <w:spacing w:line="360" w:lineRule="auto"/>
              <w:jc w:val="left"/>
              <w:textAlignment w:val="center"/>
              <w:rPr>
                <w:sz w:val="21"/>
              </w:rPr>
            </w:pPr>
            <w:r>
              <w:rPr>
                <w:sz w:val="21"/>
              </w:rPr>
              <w:t>①自交</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D18ABE">
            <w:pPr>
              <w:shd w:val="clear" w:color="auto" w:fill="auto"/>
              <w:spacing w:line="360" w:lineRule="auto"/>
              <w:jc w:val="left"/>
              <w:textAlignment w:val="center"/>
              <w:rPr>
                <w:sz w:val="21"/>
              </w:rPr>
            </w:pP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0CE8AB">
            <w:pPr>
              <w:shd w:val="clear" w:color="auto" w:fill="auto"/>
              <w:spacing w:line="360" w:lineRule="auto"/>
              <w:jc w:val="left"/>
              <w:textAlignment w:val="center"/>
              <w:rPr>
                <w:sz w:val="21"/>
              </w:rPr>
            </w:pP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29A174">
            <w:pPr>
              <w:shd w:val="clear" w:color="auto" w:fill="auto"/>
              <w:spacing w:line="360" w:lineRule="auto"/>
              <w:jc w:val="left"/>
              <w:textAlignment w:val="center"/>
              <w:rPr>
                <w:sz w:val="21"/>
              </w:rPr>
            </w:pP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E75AB4">
            <w:pPr>
              <w:shd w:val="clear" w:color="auto" w:fill="auto"/>
              <w:spacing w:line="360" w:lineRule="auto"/>
              <w:jc w:val="left"/>
              <w:textAlignment w:val="center"/>
              <w:rPr>
                <w:sz w:val="21"/>
              </w:rPr>
            </w:pP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DD5840">
            <w:pPr>
              <w:shd w:val="clear" w:color="auto" w:fill="auto"/>
              <w:spacing w:line="360" w:lineRule="auto"/>
              <w:jc w:val="left"/>
              <w:textAlignment w:val="center"/>
              <w:rPr>
                <w:sz w:val="21"/>
              </w:rPr>
            </w:pP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B6A168">
            <w:pPr>
              <w:shd w:val="clear" w:color="auto" w:fill="auto"/>
              <w:spacing w:line="360" w:lineRule="auto"/>
              <w:jc w:val="left"/>
              <w:textAlignment w:val="center"/>
              <w:rPr>
                <w:sz w:val="21"/>
              </w:rPr>
            </w:pP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B0A01C">
            <w:pPr>
              <w:shd w:val="clear" w:color="auto" w:fill="auto"/>
              <w:spacing w:line="360" w:lineRule="auto"/>
              <w:jc w:val="left"/>
              <w:textAlignment w:val="center"/>
              <w:rPr>
                <w:sz w:val="21"/>
              </w:rPr>
            </w:pPr>
          </w:p>
        </w:tc>
      </w:tr>
      <w:tr w14:paraId="5CABA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B32B3E">
            <w:pPr>
              <w:shd w:val="clear" w:color="auto" w:fill="auto"/>
              <w:spacing w:line="360" w:lineRule="auto"/>
              <w:jc w:val="left"/>
              <w:textAlignment w:val="center"/>
              <w:rPr>
                <w:sz w:val="21"/>
              </w:rPr>
            </w:pPr>
            <w:r>
              <w:rPr>
                <w:sz w:val="21"/>
              </w:rPr>
              <w:t>②自交</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26CC56">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2900" cy="114300"/>
                  <wp:effectExtent l="0" t="0" r="0" b="0"/>
                  <wp:docPr id="100027" name="图片 100027" descr="@@@5290f13d1bd44a14b7b5759e13150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5290f13d1bd44a14b7b5759e13150ff0"/>
                          <pic:cNvPicPr>
                            <a:picLocks noChangeAspect="1"/>
                          </pic:cNvPicPr>
                        </pic:nvPicPr>
                        <pic:blipFill>
                          <a:blip r:embed="rId24"/>
                          <a:stretch>
                            <a:fillRect/>
                          </a:stretch>
                        </pic:blipFill>
                        <pic:spPr>
                          <a:xfrm>
                            <a:off x="0" y="0"/>
                            <a:ext cx="342900" cy="114300"/>
                          </a:xfrm>
                          <a:prstGeom prst="rect">
                            <a:avLst/>
                          </a:prstGeom>
                        </pic:spPr>
                      </pic:pic>
                    </a:graphicData>
                  </a:graphic>
                </wp:inline>
              </w:drawing>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49BF7F">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2900" cy="114300"/>
                  <wp:effectExtent l="0" t="0" r="0" b="0"/>
                  <wp:docPr id="100029" name="图片 100029" descr="@@@5290f13d1bd44a14b7b5759e13150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5290f13d1bd44a14b7b5759e13150ff0"/>
                          <pic:cNvPicPr>
                            <a:picLocks noChangeAspect="1"/>
                          </pic:cNvPicPr>
                        </pic:nvPicPr>
                        <pic:blipFill>
                          <a:blip r:embed="rId24"/>
                          <a:stretch>
                            <a:fillRect/>
                          </a:stretch>
                        </pic:blipFill>
                        <pic:spPr>
                          <a:xfrm>
                            <a:off x="0" y="0"/>
                            <a:ext cx="342900" cy="114300"/>
                          </a:xfrm>
                          <a:prstGeom prst="rect">
                            <a:avLst/>
                          </a:prstGeom>
                        </pic:spPr>
                      </pic:pic>
                    </a:graphicData>
                  </a:graphic>
                </wp:inline>
              </w:drawing>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F6D0B5">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2900" cy="114300"/>
                  <wp:effectExtent l="0" t="0" r="0" b="0"/>
                  <wp:docPr id="100031" name="图片 100031" descr="@@@5290f13d1bd44a14b7b5759e13150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5290f13d1bd44a14b7b5759e13150ff0"/>
                          <pic:cNvPicPr>
                            <a:picLocks noChangeAspect="1"/>
                          </pic:cNvPicPr>
                        </pic:nvPicPr>
                        <pic:blipFill>
                          <a:blip r:embed="rId24"/>
                          <a:stretch>
                            <a:fillRect/>
                          </a:stretch>
                        </pic:blipFill>
                        <pic:spPr>
                          <a:xfrm>
                            <a:off x="0" y="0"/>
                            <a:ext cx="342900" cy="114300"/>
                          </a:xfrm>
                          <a:prstGeom prst="rect">
                            <a:avLst/>
                          </a:prstGeom>
                        </pic:spPr>
                      </pic:pic>
                    </a:graphicData>
                  </a:graphic>
                </wp:inline>
              </w:drawing>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16439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2900" cy="114300"/>
                  <wp:effectExtent l="0" t="0" r="0" b="0"/>
                  <wp:docPr id="100033" name="图片 100033" descr="@@@5290f13d1bd44a14b7b5759e13150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5290f13d1bd44a14b7b5759e13150ff0"/>
                          <pic:cNvPicPr>
                            <a:picLocks noChangeAspect="1"/>
                          </pic:cNvPicPr>
                        </pic:nvPicPr>
                        <pic:blipFill>
                          <a:blip r:embed="rId24"/>
                          <a:stretch>
                            <a:fillRect/>
                          </a:stretch>
                        </pic:blipFill>
                        <pic:spPr>
                          <a:xfrm>
                            <a:off x="0" y="0"/>
                            <a:ext cx="342900" cy="114300"/>
                          </a:xfrm>
                          <a:prstGeom prst="rect">
                            <a:avLst/>
                          </a:prstGeom>
                        </pic:spPr>
                      </pic:pic>
                    </a:graphicData>
                  </a:graphic>
                </wp:inline>
              </w:drawing>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34E7D6">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2900" cy="114300"/>
                  <wp:effectExtent l="0" t="0" r="0" b="0"/>
                  <wp:docPr id="100035" name="图片 100035" descr="@@@5290f13d1bd44a14b7b5759e13150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5290f13d1bd44a14b7b5759e13150ff0"/>
                          <pic:cNvPicPr>
                            <a:picLocks noChangeAspect="1"/>
                          </pic:cNvPicPr>
                        </pic:nvPicPr>
                        <pic:blipFill>
                          <a:blip r:embed="rId24"/>
                          <a:stretch>
                            <a:fillRect/>
                          </a:stretch>
                        </pic:blipFill>
                        <pic:spPr>
                          <a:xfrm>
                            <a:off x="0" y="0"/>
                            <a:ext cx="342900" cy="114300"/>
                          </a:xfrm>
                          <a:prstGeom prst="rect">
                            <a:avLst/>
                          </a:prstGeom>
                        </pic:spPr>
                      </pic:pic>
                    </a:graphicData>
                  </a:graphic>
                </wp:inline>
              </w:drawing>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E87BE1">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2900" cy="114300"/>
                  <wp:effectExtent l="0" t="0" r="0" b="0"/>
                  <wp:docPr id="100037" name="图片 100037" descr="@@@5290f13d1bd44a14b7b5759e13150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5290f13d1bd44a14b7b5759e13150ff0"/>
                          <pic:cNvPicPr>
                            <a:picLocks noChangeAspect="1"/>
                          </pic:cNvPicPr>
                        </pic:nvPicPr>
                        <pic:blipFill>
                          <a:blip r:embed="rId24"/>
                          <a:stretch>
                            <a:fillRect/>
                          </a:stretch>
                        </pic:blipFill>
                        <pic:spPr>
                          <a:xfrm>
                            <a:off x="0" y="0"/>
                            <a:ext cx="342900" cy="114300"/>
                          </a:xfrm>
                          <a:prstGeom prst="rect">
                            <a:avLst/>
                          </a:prstGeom>
                        </pic:spPr>
                      </pic:pic>
                    </a:graphicData>
                  </a:graphic>
                </wp:inline>
              </w:drawing>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077E51">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2900" cy="114300"/>
                  <wp:effectExtent l="0" t="0" r="0" b="0"/>
                  <wp:docPr id="100039" name="图片 100039" descr="@@@5290f13d1bd44a14b7b5759e13150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5290f13d1bd44a14b7b5759e13150ff0"/>
                          <pic:cNvPicPr>
                            <a:picLocks noChangeAspect="1"/>
                          </pic:cNvPicPr>
                        </pic:nvPicPr>
                        <pic:blipFill>
                          <a:blip r:embed="rId24"/>
                          <a:stretch>
                            <a:fillRect/>
                          </a:stretch>
                        </pic:blipFill>
                        <pic:spPr>
                          <a:xfrm>
                            <a:off x="0" y="0"/>
                            <a:ext cx="342900" cy="114300"/>
                          </a:xfrm>
                          <a:prstGeom prst="rect">
                            <a:avLst/>
                          </a:prstGeom>
                        </pic:spPr>
                      </pic:pic>
                    </a:graphicData>
                  </a:graphic>
                </wp:inline>
              </w:drawing>
            </w:r>
          </w:p>
        </w:tc>
      </w:tr>
    </w:tbl>
    <w:p w14:paraId="7A9D972E">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138555" cy="1313180"/>
            <wp:effectExtent l="0" t="0" r="4445" b="7620"/>
            <wp:docPr id="100041" name="图片 100041" descr="@@@74b8d239-fc82-42ee-8c71-7c6c10194f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74b8d239-fc82-42ee-8c71-7c6c10194fd7"/>
                    <pic:cNvPicPr>
                      <a:picLocks noChangeAspect="1"/>
                    </pic:cNvPicPr>
                  </pic:nvPicPr>
                  <pic:blipFill>
                    <a:blip r:embed="rId25"/>
                    <a:stretch>
                      <a:fillRect/>
                    </a:stretch>
                  </pic:blipFill>
                  <pic:spPr>
                    <a:xfrm>
                      <a:off x="0" y="0"/>
                      <a:ext cx="1138555" cy="1313180"/>
                    </a:xfrm>
                    <a:prstGeom prst="rect">
                      <a:avLst/>
                    </a:prstGeom>
                  </pic:spPr>
                </pic:pic>
              </a:graphicData>
            </a:graphic>
          </wp:inline>
        </w:drawing>
      </w:r>
    </w:p>
    <w:p w14:paraId="431E005C">
      <w:pPr>
        <w:shd w:val="clear" w:color="auto" w:fill="auto"/>
        <w:spacing w:line="360" w:lineRule="auto"/>
        <w:jc w:val="left"/>
        <w:textAlignment w:val="center"/>
        <w:rPr>
          <w:sz w:val="21"/>
        </w:rPr>
      </w:pPr>
      <w:r>
        <w:rPr>
          <w:sz w:val="21"/>
        </w:rPr>
        <w:t>21．某科研团队通过转基因获得了一种大肠杆菌工程菌，成为监测残留在生物组织或环境中的四环素水平的“报警器”，其监测原理如图1所示，天然大肠杆菌不具备图1中所示基因。回答下列问题：</w:t>
      </w:r>
    </w:p>
    <w:p w14:paraId="78892E5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92625" cy="1231265"/>
            <wp:effectExtent l="0" t="0" r="3175" b="635"/>
            <wp:docPr id="100043" name="图片 100043" descr="@@@23e0ba68-61e2-443b-bb37-4d7f27fa7c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23e0ba68-61e2-443b-bb37-4d7f27fa7c2e"/>
                    <pic:cNvPicPr>
                      <a:picLocks noChangeAspect="1"/>
                    </pic:cNvPicPr>
                  </pic:nvPicPr>
                  <pic:blipFill>
                    <a:blip r:embed="rId26"/>
                    <a:stretch>
                      <a:fillRect/>
                    </a:stretch>
                  </pic:blipFill>
                  <pic:spPr>
                    <a:xfrm>
                      <a:off x="0" y="0"/>
                      <a:ext cx="4492625" cy="1231265"/>
                    </a:xfrm>
                    <a:prstGeom prst="rect">
                      <a:avLst/>
                    </a:prstGeom>
                  </pic:spPr>
                </pic:pic>
              </a:graphicData>
            </a:graphic>
          </wp:inline>
        </w:drawing>
      </w:r>
    </w:p>
    <w:p w14:paraId="54AA5B89">
      <w:pPr>
        <w:shd w:val="clear" w:color="auto" w:fill="auto"/>
        <w:spacing w:line="360" w:lineRule="auto"/>
        <w:jc w:val="left"/>
        <w:textAlignment w:val="center"/>
        <w:rPr>
          <w:sz w:val="21"/>
        </w:rPr>
      </w:pPr>
      <w:r>
        <w:rPr>
          <w:sz w:val="21"/>
        </w:rPr>
        <w:t>注：GFP蛋白可在一定条件下发出荧光。</w:t>
      </w:r>
    </w:p>
    <w:p w14:paraId="4D5C2E08">
      <w:pPr>
        <w:shd w:val="clear" w:color="auto" w:fill="auto"/>
        <w:spacing w:line="360" w:lineRule="auto"/>
        <w:jc w:val="left"/>
        <w:textAlignment w:val="center"/>
        <w:rPr>
          <w:sz w:val="21"/>
        </w:rPr>
      </w:pPr>
      <w:r>
        <w:rPr>
          <w:sz w:val="21"/>
        </w:rPr>
        <w:t>(1)据图1分析，当环境中四环素水平较高时，大肠杆菌工程菌</w:t>
      </w:r>
      <w:r>
        <w:rPr>
          <w:rFonts w:ascii="Times New Roman" w:hAnsi="Times New Roman" w:eastAsia="Times New Roman" w:cs="Times New Roman"/>
          <w:b w:val="0"/>
          <w:sz w:val="21"/>
        </w:rPr>
        <w:t>______</w:t>
      </w:r>
      <w:r>
        <w:rPr>
          <w:sz w:val="21"/>
        </w:rPr>
        <w:t>（填“能发出”或“不能发出”）荧光，理由是</w:t>
      </w:r>
      <w:r>
        <w:rPr>
          <w:rFonts w:ascii="Times New Roman" w:hAnsi="Times New Roman" w:eastAsia="Times New Roman" w:cs="Times New Roman"/>
          <w:b w:val="0"/>
          <w:sz w:val="21"/>
        </w:rPr>
        <w:t>______</w:t>
      </w:r>
      <w:r>
        <w:rPr>
          <w:sz w:val="21"/>
        </w:rPr>
        <w:t>。</w:t>
      </w:r>
    </w:p>
    <w:p w14:paraId="1B5C28F7">
      <w:pPr>
        <w:shd w:val="clear" w:color="auto" w:fill="auto"/>
        <w:spacing w:line="360" w:lineRule="auto"/>
        <w:jc w:val="left"/>
        <w:textAlignment w:val="center"/>
        <w:rPr>
          <w:sz w:val="21"/>
        </w:rPr>
      </w:pPr>
      <w:r>
        <w:rPr>
          <w:sz w:val="21"/>
        </w:rPr>
        <w:t>(2)结合图2、3，构建含TetR基因和GFP基因的融合基因时，需要先在引物1的</w:t>
      </w:r>
      <w:r>
        <w:rPr>
          <w:rFonts w:ascii="Times New Roman" w:hAnsi="Times New Roman" w:eastAsia="Times New Roman" w:cs="Times New Roman"/>
          <w:b w:val="0"/>
          <w:sz w:val="21"/>
        </w:rPr>
        <w:t>______</w:t>
      </w:r>
      <w:r>
        <w:rPr>
          <w:sz w:val="21"/>
        </w:rPr>
        <w:t>（填“3'”或“5'”）端添加限制酶</w:t>
      </w:r>
      <w:r>
        <w:rPr>
          <w:rFonts w:ascii="Times New Roman" w:hAnsi="Times New Roman" w:eastAsia="Times New Roman" w:cs="Times New Roman"/>
          <w:b w:val="0"/>
          <w:sz w:val="21"/>
        </w:rPr>
        <w:t>______</w:t>
      </w:r>
      <w:r>
        <w:rPr>
          <w:sz w:val="21"/>
        </w:rPr>
        <w:t>的识别序列。</w:t>
      </w:r>
    </w:p>
    <w:p w14:paraId="0FEA946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659255" cy="1370330"/>
            <wp:effectExtent l="0" t="0" r="0" b="0"/>
            <wp:docPr id="100045" name="图片 100045" descr="@@@b2fe385d-08cc-4330-8834-4d7e138d9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b2fe385d-08cc-4330-8834-4d7e138d9290"/>
                    <pic:cNvPicPr>
                      <a:picLocks noChangeAspect="1"/>
                    </pic:cNvPicPr>
                  </pic:nvPicPr>
                  <pic:blipFill>
                    <a:blip r:embed="rId27"/>
                    <a:stretch>
                      <a:fillRect/>
                    </a:stretch>
                  </pic:blipFill>
                  <pic:spPr>
                    <a:xfrm>
                      <a:off x="0" y="0"/>
                      <a:ext cx="1659255" cy="1370330"/>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1660525" cy="1783715"/>
            <wp:effectExtent l="0" t="0" r="0" b="0"/>
            <wp:docPr id="100047" name="图片 100047" descr="@@@40f83079-119c-477a-af36-505abfbd13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40f83079-119c-477a-af36-505abfbd132c"/>
                    <pic:cNvPicPr>
                      <a:picLocks noChangeAspect="1"/>
                    </pic:cNvPicPr>
                  </pic:nvPicPr>
                  <pic:blipFill>
                    <a:blip r:embed="rId28"/>
                    <a:stretch>
                      <a:fillRect/>
                    </a:stretch>
                  </pic:blipFill>
                  <pic:spPr>
                    <a:xfrm>
                      <a:off x="0" y="0"/>
                      <a:ext cx="1660525" cy="1783715"/>
                    </a:xfrm>
                    <a:prstGeom prst="rect">
                      <a:avLst/>
                    </a:prstGeom>
                  </pic:spPr>
                </pic:pic>
              </a:graphicData>
            </a:graphic>
          </wp:inline>
        </w:drawing>
      </w:r>
    </w:p>
    <w:p w14:paraId="35A26F49">
      <w:pPr>
        <w:shd w:val="clear" w:color="auto" w:fill="auto"/>
        <w:spacing w:line="360" w:lineRule="auto"/>
        <w:jc w:val="left"/>
        <w:textAlignment w:val="center"/>
        <w:rPr>
          <w:sz w:val="21"/>
        </w:rPr>
      </w:pPr>
      <w:r>
        <w:rPr>
          <w:sz w:val="21"/>
        </w:rPr>
        <w:t>(3)现将含TetR和GFP的融合基因导入图4所示的质粒中，请在图5中绘出最终成功构建的重组质粒示意图</w:t>
      </w:r>
      <w:r>
        <w:rPr>
          <w:rFonts w:ascii="Times New Roman" w:hAnsi="Times New Roman" w:eastAsia="Times New Roman" w:cs="Times New Roman"/>
          <w:b w:val="0"/>
          <w:sz w:val="21"/>
        </w:rPr>
        <w:t>______</w:t>
      </w:r>
      <w:r>
        <w:rPr>
          <w:sz w:val="21"/>
        </w:rPr>
        <w:t>（要求：①标出TetR基因和GFP基因及其转录方向；②标出有关限制酶切割位点）。</w:t>
      </w:r>
    </w:p>
    <w:p w14:paraId="7E585405">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50870" cy="1558925"/>
            <wp:effectExtent l="0" t="0" r="11430" b="3175"/>
            <wp:docPr id="100049" name="图片 100049" descr="@@@9aa85c76-7766-4f4b-9fd1-428d6d3f75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9aa85c76-7766-4f4b-9fd1-428d6d3f756e"/>
                    <pic:cNvPicPr>
                      <a:picLocks noChangeAspect="1"/>
                    </pic:cNvPicPr>
                  </pic:nvPicPr>
                  <pic:blipFill>
                    <a:blip r:embed="rId29"/>
                    <a:stretch>
                      <a:fillRect/>
                    </a:stretch>
                  </pic:blipFill>
                  <pic:spPr>
                    <a:xfrm>
                      <a:off x="0" y="0"/>
                      <a:ext cx="3150870" cy="1558925"/>
                    </a:xfrm>
                    <a:prstGeom prst="rect">
                      <a:avLst/>
                    </a:prstGeom>
                  </pic:spPr>
                </pic:pic>
              </a:graphicData>
            </a:graphic>
          </wp:inline>
        </w:drawing>
      </w:r>
    </w:p>
    <w:p w14:paraId="18AB6679">
      <w:pPr>
        <w:shd w:val="clear" w:color="auto" w:fill="auto"/>
        <w:spacing w:line="360" w:lineRule="auto"/>
        <w:jc w:val="left"/>
        <w:textAlignment w:val="center"/>
        <w:rPr>
          <w:sz w:val="21"/>
        </w:rPr>
      </w:pPr>
      <w:r>
        <w:rPr>
          <w:sz w:val="21"/>
        </w:rPr>
        <w:t>(4)为了确定重组质粒和大肠杆菌工程菌建构成功，可用PCR技术进行检测，PCR完成以后常采用</w:t>
      </w:r>
      <w:r>
        <w:rPr>
          <w:rFonts w:ascii="Times New Roman" w:hAnsi="Times New Roman" w:eastAsia="Times New Roman" w:cs="Times New Roman"/>
          <w:b w:val="0"/>
          <w:sz w:val="21"/>
        </w:rPr>
        <w:t>______</w:t>
      </w:r>
      <w:r>
        <w:rPr>
          <w:sz w:val="21"/>
        </w:rPr>
        <w:t>来鉴定PCR的产物。个体水平的检测也可通过观察</w:t>
      </w:r>
      <w:r>
        <w:rPr>
          <w:rFonts w:ascii="Times New Roman" w:hAnsi="Times New Roman" w:eastAsia="Times New Roman" w:cs="Times New Roman"/>
          <w:b w:val="0"/>
          <w:sz w:val="21"/>
        </w:rPr>
        <w:t>______</w:t>
      </w:r>
      <w:r>
        <w:rPr>
          <w:sz w:val="21"/>
        </w:rPr>
        <w:t>来进行鉴定。</w:t>
      </w:r>
    </w:p>
    <w:p w14:paraId="4A02109B">
      <w:pPr>
        <w:shd w:val="clear" w:color="auto" w:fill="auto"/>
        <w:spacing w:line="360" w:lineRule="auto"/>
        <w:jc w:val="left"/>
        <w:textAlignment w:val="center"/>
        <w:rPr>
          <w:sz w:val="21"/>
        </w:rPr>
        <w:sectPr>
          <w:footerReference r:id="rId3" w:type="default"/>
          <w:footerReference r:id="rId4" w:type="even"/>
          <w:pgSz w:w="11907" w:h="16839"/>
          <w:pgMar w:top="1440" w:right="1800" w:bottom="1440" w:left="1800" w:header="851" w:footer="425" w:gutter="0"/>
          <w:cols w:space="425" w:num="1" w:sep="1"/>
          <w:docGrid w:type="lines" w:linePitch="312" w:charSpace="0"/>
        </w:sectPr>
      </w:pPr>
    </w:p>
    <w:p w14:paraId="1EA88A34">
      <w:pPr>
        <w:jc w:val="center"/>
        <w:textAlignment w:val="center"/>
        <w:rPr>
          <w:rFonts w:ascii="宋体" w:hAnsi="宋体" w:eastAsia="宋体" w:cs="宋体"/>
          <w:b/>
          <w:i w:val="0"/>
          <w:color w:val="000000"/>
          <w:sz w:val="21"/>
        </w:rPr>
      </w:pPr>
      <w:r>
        <w:rPr>
          <w:rFonts w:hint="eastAsia"/>
          <w:color w:val="000000"/>
          <w:sz w:val="30"/>
          <w:szCs w:val="30"/>
          <w:lang w:val="en-US" w:eastAsia="zh-CN"/>
        </w:rPr>
        <w:t>深圳外国语学校高中部2027届暑假生物综合练习四参考答案</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4"/>
        <w:gridCol w:w="774"/>
        <w:gridCol w:w="775"/>
        <w:gridCol w:w="775"/>
        <w:gridCol w:w="775"/>
        <w:gridCol w:w="775"/>
        <w:gridCol w:w="775"/>
        <w:gridCol w:w="775"/>
        <w:gridCol w:w="775"/>
        <w:gridCol w:w="775"/>
        <w:gridCol w:w="775"/>
      </w:tblGrid>
      <w:tr w14:paraId="13601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3CA44D5C">
            <w:pPr>
              <w:jc w:val="center"/>
              <w:textAlignment w:val="center"/>
              <w:rPr>
                <w:rFonts w:ascii="宋体" w:hAnsi="宋体" w:eastAsia="宋体" w:cs="宋体"/>
                <w:b/>
                <w:i w:val="0"/>
                <w:color w:val="000000"/>
                <w:sz w:val="21"/>
              </w:rPr>
            </w:pPr>
            <w:r>
              <w:rPr>
                <w:rFonts w:ascii="宋体" w:hAnsi="宋体" w:eastAsia="宋体" w:cs="宋体"/>
                <w:b/>
                <w:i w:val="0"/>
                <w:color w:val="000000"/>
                <w:sz w:val="21"/>
              </w:rPr>
              <w:t>题号</w:t>
            </w:r>
          </w:p>
        </w:tc>
        <w:tc>
          <w:tcPr>
            <w:tcW w:w="454" w:type="pct"/>
            <w:tcMar>
              <w:top w:w="0" w:type="dxa"/>
              <w:bottom w:w="0" w:type="dxa"/>
            </w:tcMar>
            <w:vAlign w:val="center"/>
          </w:tcPr>
          <w:p w14:paraId="3085FB96">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w:t>
            </w:r>
          </w:p>
        </w:tc>
        <w:tc>
          <w:tcPr>
            <w:tcW w:w="454" w:type="pct"/>
            <w:tcMar>
              <w:top w:w="0" w:type="dxa"/>
              <w:bottom w:w="0" w:type="dxa"/>
            </w:tcMar>
            <w:vAlign w:val="center"/>
          </w:tcPr>
          <w:p w14:paraId="7DBE6706">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2</w:t>
            </w:r>
          </w:p>
        </w:tc>
        <w:tc>
          <w:tcPr>
            <w:tcW w:w="454" w:type="pct"/>
            <w:tcMar>
              <w:top w:w="0" w:type="dxa"/>
              <w:bottom w:w="0" w:type="dxa"/>
            </w:tcMar>
            <w:vAlign w:val="center"/>
          </w:tcPr>
          <w:p w14:paraId="17DE9A93">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3</w:t>
            </w:r>
          </w:p>
        </w:tc>
        <w:tc>
          <w:tcPr>
            <w:tcW w:w="454" w:type="pct"/>
            <w:tcMar>
              <w:top w:w="0" w:type="dxa"/>
              <w:bottom w:w="0" w:type="dxa"/>
            </w:tcMar>
            <w:vAlign w:val="center"/>
          </w:tcPr>
          <w:p w14:paraId="18DFDC4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4</w:t>
            </w:r>
          </w:p>
        </w:tc>
        <w:tc>
          <w:tcPr>
            <w:tcW w:w="454" w:type="pct"/>
            <w:tcMar>
              <w:top w:w="0" w:type="dxa"/>
              <w:bottom w:w="0" w:type="dxa"/>
            </w:tcMar>
            <w:vAlign w:val="center"/>
          </w:tcPr>
          <w:p w14:paraId="7755C2B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5</w:t>
            </w:r>
          </w:p>
        </w:tc>
        <w:tc>
          <w:tcPr>
            <w:tcW w:w="454" w:type="pct"/>
            <w:tcMar>
              <w:top w:w="0" w:type="dxa"/>
              <w:bottom w:w="0" w:type="dxa"/>
            </w:tcMar>
            <w:vAlign w:val="center"/>
          </w:tcPr>
          <w:p w14:paraId="79BA7426">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6</w:t>
            </w:r>
          </w:p>
        </w:tc>
        <w:tc>
          <w:tcPr>
            <w:tcW w:w="454" w:type="pct"/>
            <w:tcMar>
              <w:top w:w="0" w:type="dxa"/>
              <w:bottom w:w="0" w:type="dxa"/>
            </w:tcMar>
            <w:vAlign w:val="center"/>
          </w:tcPr>
          <w:p w14:paraId="567358EA">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7</w:t>
            </w:r>
          </w:p>
        </w:tc>
        <w:tc>
          <w:tcPr>
            <w:tcW w:w="454" w:type="pct"/>
            <w:tcMar>
              <w:top w:w="0" w:type="dxa"/>
              <w:bottom w:w="0" w:type="dxa"/>
            </w:tcMar>
            <w:vAlign w:val="center"/>
          </w:tcPr>
          <w:p w14:paraId="6FBCD711">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8</w:t>
            </w:r>
          </w:p>
        </w:tc>
        <w:tc>
          <w:tcPr>
            <w:tcW w:w="454" w:type="pct"/>
            <w:tcMar>
              <w:top w:w="0" w:type="dxa"/>
              <w:bottom w:w="0" w:type="dxa"/>
            </w:tcMar>
            <w:vAlign w:val="center"/>
          </w:tcPr>
          <w:p w14:paraId="3252291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9</w:t>
            </w:r>
          </w:p>
        </w:tc>
        <w:tc>
          <w:tcPr>
            <w:tcW w:w="454" w:type="pct"/>
            <w:tcMar>
              <w:top w:w="0" w:type="dxa"/>
              <w:bottom w:w="0" w:type="dxa"/>
            </w:tcMar>
            <w:vAlign w:val="center"/>
          </w:tcPr>
          <w:p w14:paraId="4DBA9E6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10</w:t>
            </w:r>
          </w:p>
        </w:tc>
      </w:tr>
      <w:tr w14:paraId="35373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38D22D20">
            <w:pPr>
              <w:jc w:val="center"/>
              <w:textAlignment w:val="center"/>
              <w:rPr>
                <w:rFonts w:ascii="宋体" w:hAnsi="宋体" w:eastAsia="宋体" w:cs="宋体"/>
                <w:b/>
                <w:i w:val="0"/>
                <w:color w:val="000000"/>
                <w:sz w:val="21"/>
              </w:rPr>
            </w:pPr>
            <w:r>
              <w:rPr>
                <w:rFonts w:ascii="宋体" w:hAnsi="宋体" w:eastAsia="宋体" w:cs="宋体"/>
                <w:b/>
                <w:i w:val="0"/>
                <w:color w:val="000000"/>
                <w:sz w:val="21"/>
              </w:rPr>
              <w:t>答案</w:t>
            </w:r>
          </w:p>
        </w:tc>
        <w:tc>
          <w:tcPr>
            <w:tcW w:w="454" w:type="pct"/>
            <w:tcMar>
              <w:top w:w="0" w:type="dxa"/>
              <w:bottom w:w="0" w:type="dxa"/>
            </w:tcMar>
            <w:vAlign w:val="center"/>
          </w:tcPr>
          <w:p w14:paraId="0E33890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6E255F41">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546B5CB1">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0662772A">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6841A242">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743DD098">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786BB2B9">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4D9C48D9">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7B5489B6">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0CD464F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r>
      <w:tr w14:paraId="5576D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4ACE82A8">
            <w:pPr>
              <w:jc w:val="center"/>
              <w:textAlignment w:val="center"/>
              <w:rPr>
                <w:rFonts w:ascii="宋体" w:hAnsi="宋体" w:eastAsia="宋体" w:cs="宋体"/>
                <w:b/>
                <w:i w:val="0"/>
                <w:color w:val="000000"/>
                <w:sz w:val="21"/>
              </w:rPr>
            </w:pPr>
            <w:r>
              <w:rPr>
                <w:rFonts w:ascii="宋体" w:hAnsi="宋体" w:eastAsia="宋体" w:cs="宋体"/>
                <w:b/>
                <w:i w:val="0"/>
                <w:color w:val="000000"/>
                <w:sz w:val="21"/>
              </w:rPr>
              <w:t>题号</w:t>
            </w:r>
          </w:p>
        </w:tc>
        <w:tc>
          <w:tcPr>
            <w:tcW w:w="454" w:type="pct"/>
            <w:tcMar>
              <w:top w:w="0" w:type="dxa"/>
              <w:bottom w:w="0" w:type="dxa"/>
            </w:tcMar>
            <w:vAlign w:val="center"/>
          </w:tcPr>
          <w:p w14:paraId="516616C3">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11</w:t>
            </w:r>
          </w:p>
        </w:tc>
        <w:tc>
          <w:tcPr>
            <w:tcW w:w="454" w:type="pct"/>
            <w:tcMar>
              <w:top w:w="0" w:type="dxa"/>
              <w:bottom w:w="0" w:type="dxa"/>
            </w:tcMar>
            <w:vAlign w:val="center"/>
          </w:tcPr>
          <w:p w14:paraId="480AA13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12</w:t>
            </w:r>
          </w:p>
        </w:tc>
        <w:tc>
          <w:tcPr>
            <w:tcW w:w="454" w:type="pct"/>
            <w:tcMar>
              <w:top w:w="0" w:type="dxa"/>
              <w:bottom w:w="0" w:type="dxa"/>
            </w:tcMar>
            <w:vAlign w:val="center"/>
          </w:tcPr>
          <w:p w14:paraId="5BE91D68">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13</w:t>
            </w:r>
          </w:p>
        </w:tc>
        <w:tc>
          <w:tcPr>
            <w:tcW w:w="454" w:type="pct"/>
            <w:tcMar>
              <w:top w:w="0" w:type="dxa"/>
              <w:bottom w:w="0" w:type="dxa"/>
            </w:tcMar>
            <w:vAlign w:val="center"/>
          </w:tcPr>
          <w:p w14:paraId="26CEED8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14</w:t>
            </w:r>
          </w:p>
        </w:tc>
        <w:tc>
          <w:tcPr>
            <w:tcW w:w="454" w:type="pct"/>
            <w:tcMar>
              <w:top w:w="0" w:type="dxa"/>
              <w:bottom w:w="0" w:type="dxa"/>
            </w:tcMar>
            <w:vAlign w:val="center"/>
          </w:tcPr>
          <w:p w14:paraId="23EFDB0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15</w:t>
            </w:r>
          </w:p>
        </w:tc>
        <w:tc>
          <w:tcPr>
            <w:tcW w:w="454" w:type="pct"/>
            <w:tcMar>
              <w:top w:w="0" w:type="dxa"/>
              <w:bottom w:w="0" w:type="dxa"/>
            </w:tcMar>
            <w:vAlign w:val="center"/>
          </w:tcPr>
          <w:p w14:paraId="53659629">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16</w:t>
            </w:r>
          </w:p>
        </w:tc>
        <w:tc>
          <w:tcPr>
            <w:tcW w:w="454" w:type="pct"/>
            <w:tcMar>
              <w:top w:w="0" w:type="dxa"/>
              <w:bottom w:w="0" w:type="dxa"/>
            </w:tcMar>
            <w:vAlign w:val="center"/>
          </w:tcPr>
          <w:p w14:paraId="653A37B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057F9CC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1CF0C4C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29B21D3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r>
      <w:tr w14:paraId="20874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79BCB9B4">
            <w:pPr>
              <w:jc w:val="center"/>
              <w:textAlignment w:val="center"/>
              <w:rPr>
                <w:rFonts w:ascii="宋体" w:hAnsi="宋体" w:eastAsia="宋体" w:cs="宋体"/>
                <w:b/>
                <w:i w:val="0"/>
                <w:color w:val="000000"/>
                <w:sz w:val="21"/>
              </w:rPr>
            </w:pPr>
            <w:r>
              <w:rPr>
                <w:rFonts w:ascii="宋体" w:hAnsi="宋体" w:eastAsia="宋体" w:cs="宋体"/>
                <w:b/>
                <w:i w:val="0"/>
                <w:color w:val="000000"/>
                <w:sz w:val="21"/>
              </w:rPr>
              <w:t>答案</w:t>
            </w:r>
          </w:p>
        </w:tc>
        <w:tc>
          <w:tcPr>
            <w:tcW w:w="454" w:type="pct"/>
            <w:tcMar>
              <w:top w:w="0" w:type="dxa"/>
              <w:bottom w:w="0" w:type="dxa"/>
            </w:tcMar>
            <w:vAlign w:val="center"/>
          </w:tcPr>
          <w:p w14:paraId="04924FE5">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5282E511">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42FB962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711D24A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48F6E90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17D6B813">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07D7BE3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1ADBEB76">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2E7B03A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0D350E0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r>
    </w:tbl>
    <w:p w14:paraId="7B7F559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1．B</w:t>
      </w:r>
    </w:p>
    <w:p w14:paraId="0B0DAE2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【详解】A、艾弗里利用减法原理证明DNA才是使R型细菌发生稳定遗传变化的物质，格里菲思利用肺炎链球菌进行的是体内转化实验，证明了转化因子的存在，A错误；</w:t>
      </w:r>
    </w:p>
    <w:p w14:paraId="24C0EA8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B、沃森和克里克通过构建物理模型提出DNA双螺旋结构，包括反向平行特点，B正确；</w:t>
      </w:r>
    </w:p>
    <w:p w14:paraId="12B8A27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C、赫尔希和蔡斯用同位素标记法，利用噬菌体侵染细菌实验证明噬菌体的遗传物质是DNA，C错误；</w:t>
      </w:r>
    </w:p>
    <w:p w14:paraId="25486C2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D、孟德尔用假说-演绎法研究性状分离，自由组合定律，提出在形成配子时，成对的遗传因子彼此分离、不成对的遗传因子自由组合，没有提出同源染色体和等位基因的概念，D错误。</w:t>
      </w:r>
    </w:p>
    <w:p w14:paraId="17A84F1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2．A</w:t>
      </w:r>
    </w:p>
    <w:p w14:paraId="6107D68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注射抗促甲状腺激素血清后，促甲状腺激素被抗促甲状腺激素血清中和，导致其无法作用于甲状腺，此时，甲状腺激素分泌减少，对垂体的负反馈作用减弱，促使垂体分泌更多促甲状腺激素以代偿，因此，垂体分泌促甲状腺激素的功能增强，A正确；</w:t>
      </w:r>
    </w:p>
    <w:p w14:paraId="48D4910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B、由A选项可知，甲状腺激素会分泌减少，从而对下丘脑的负反馈作用减弱，B错误。</w:t>
      </w:r>
    </w:p>
    <w:p w14:paraId="20EED95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C、促甲状腺激素本身不直接对下丘脑产生负反馈作用，负反馈主要由甲状腺激素完成，C错误；</w:t>
      </w:r>
    </w:p>
    <w:p w14:paraId="2030193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D、甲状腺激素减少导致对下丘脑的负反馈减弱，下丘脑分泌促甲状腺激素释放激素的功能应增强，D错误。</w:t>
      </w:r>
    </w:p>
    <w:p w14:paraId="3BD7A4B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3．C</w:t>
      </w:r>
    </w:p>
    <w:p w14:paraId="606CE55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【详解】A、生物的适应性特征来源于可遗传的变异，而自然选择会保留有利的变异，淘汰不利的变异，适应是自然选择的结果，A正确；</w:t>
      </w:r>
    </w:p>
    <w:p w14:paraId="33C6519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B、水稻北移种植前未受低温胁迫，MET1b正常表达，使ACT1启动子甲基化水平高，抑制其转录，导致耐冷性差，B正确；</w:t>
      </w:r>
    </w:p>
    <w:p w14:paraId="748FFF7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C、拉马克理论的核心是“用进废退”和“获得性遗传”，但水稻的耐冷性是基因表达调控的结果，不是随环境变化主动做出改变，C错误；</w:t>
      </w:r>
    </w:p>
    <w:p w14:paraId="58C8483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D、Dof1作为转录因子，结合启动子后可招募RNA聚合酶，促进ACT1转录，D正确。</w:t>
      </w:r>
    </w:p>
    <w:p w14:paraId="110E949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4．C</w:t>
      </w:r>
    </w:p>
    <w:p w14:paraId="7F75E04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【详解】A、正常翅为隐性性状，雌果蝇基因型为X</w:t>
      </w:r>
      <w:r>
        <w:rPr>
          <w:sz w:val="21"/>
          <w:vertAlign w:val="superscript"/>
        </w:rPr>
        <w:t>a</w:t>
      </w:r>
      <w:r>
        <w:rPr>
          <w:sz w:val="21"/>
        </w:rPr>
        <w:t>X</w:t>
      </w:r>
      <w:r>
        <w:rPr>
          <w:sz w:val="21"/>
          <w:vertAlign w:val="superscript"/>
        </w:rPr>
        <w:t>a</w:t>
      </w:r>
      <w:r>
        <w:rPr>
          <w:sz w:val="21"/>
        </w:rPr>
        <w:t>，雄果蝇为X</w:t>
      </w:r>
      <w:r>
        <w:rPr>
          <w:sz w:val="21"/>
          <w:vertAlign w:val="superscript"/>
        </w:rPr>
        <w:t>a</w:t>
      </w:r>
      <w:r>
        <w:rPr>
          <w:sz w:val="21"/>
        </w:rPr>
        <w:t>Y</w:t>
      </w:r>
      <w:r>
        <w:rPr>
          <w:sz w:val="21"/>
          <w:vertAlign w:val="superscript"/>
        </w:rPr>
        <w:t>a</w:t>
      </w:r>
      <w:r>
        <w:rPr>
          <w:sz w:val="21"/>
        </w:rPr>
        <w:t>，共2种；翻翅为显性性状，雌果蝇基因型为X</w:t>
      </w:r>
      <w:r>
        <w:rPr>
          <w:sz w:val="21"/>
          <w:vertAlign w:val="superscript"/>
        </w:rPr>
        <w:t>A</w:t>
      </w:r>
      <w:r>
        <w:rPr>
          <w:sz w:val="21"/>
        </w:rPr>
        <w:t>X</w:t>
      </w:r>
      <w:r>
        <w:rPr>
          <w:sz w:val="21"/>
          <w:vertAlign w:val="superscript"/>
        </w:rPr>
        <w:t>A</w:t>
      </w:r>
      <w:r>
        <w:rPr>
          <w:sz w:val="21"/>
        </w:rPr>
        <w:t>、X</w:t>
      </w:r>
      <w:r>
        <w:rPr>
          <w:sz w:val="21"/>
          <w:vertAlign w:val="superscript"/>
        </w:rPr>
        <w:t>A</w:t>
      </w:r>
      <w:r>
        <w:rPr>
          <w:sz w:val="21"/>
        </w:rPr>
        <w:t>X</w:t>
      </w:r>
      <w:r>
        <w:rPr>
          <w:sz w:val="21"/>
          <w:vertAlign w:val="superscript"/>
        </w:rPr>
        <w:t>a</w:t>
      </w:r>
      <w:r>
        <w:rPr>
          <w:sz w:val="21"/>
        </w:rPr>
        <w:t>，雄果蝇为X</w:t>
      </w:r>
      <w:r>
        <w:rPr>
          <w:sz w:val="21"/>
          <w:vertAlign w:val="superscript"/>
        </w:rPr>
        <w:t>A</w:t>
      </w:r>
      <w:r>
        <w:rPr>
          <w:sz w:val="21"/>
        </w:rPr>
        <w:t>Y</w:t>
      </w:r>
      <w:r>
        <w:rPr>
          <w:sz w:val="21"/>
          <w:vertAlign w:val="superscript"/>
        </w:rPr>
        <w:t>A</w:t>
      </w:r>
      <w:r>
        <w:rPr>
          <w:sz w:val="21"/>
        </w:rPr>
        <w:t>、X</w:t>
      </w:r>
      <w:r>
        <w:rPr>
          <w:sz w:val="21"/>
          <w:vertAlign w:val="superscript"/>
        </w:rPr>
        <w:t>A</w:t>
      </w:r>
      <w:r>
        <w:rPr>
          <w:sz w:val="21"/>
        </w:rPr>
        <w:t>Y</w:t>
      </w:r>
      <w:r>
        <w:rPr>
          <w:sz w:val="21"/>
          <w:vertAlign w:val="superscript"/>
        </w:rPr>
        <w:t>a</w:t>
      </w:r>
      <w:r>
        <w:rPr>
          <w:sz w:val="21"/>
        </w:rPr>
        <w:t>、X</w:t>
      </w:r>
      <w:r>
        <w:rPr>
          <w:sz w:val="21"/>
          <w:vertAlign w:val="superscript"/>
        </w:rPr>
        <w:t>a</w:t>
      </w:r>
      <w:r>
        <w:rPr>
          <w:sz w:val="21"/>
        </w:rPr>
        <w:t>Y</w:t>
      </w:r>
      <w:r>
        <w:rPr>
          <w:sz w:val="21"/>
          <w:vertAlign w:val="superscript"/>
        </w:rPr>
        <w:t>A</w:t>
      </w:r>
      <w:r>
        <w:rPr>
          <w:sz w:val="21"/>
        </w:rPr>
        <w:t>，共5种，A正确；</w:t>
      </w:r>
    </w:p>
    <w:p w14:paraId="5CE425D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B、若雄性子代全为正常翅（X</w:t>
      </w:r>
      <w:r>
        <w:rPr>
          <w:sz w:val="21"/>
          <w:vertAlign w:val="superscript"/>
        </w:rPr>
        <w:t>a</w:t>
      </w:r>
      <w:r>
        <w:rPr>
          <w:sz w:val="21"/>
        </w:rPr>
        <w:t>Y</w:t>
      </w:r>
      <w:r>
        <w:rPr>
          <w:sz w:val="21"/>
          <w:vertAlign w:val="superscript"/>
        </w:rPr>
        <w:t>a</w:t>
      </w:r>
      <w:r>
        <w:rPr>
          <w:sz w:val="21"/>
        </w:rPr>
        <w:t>），雌性子代全为翻翅（X</w:t>
      </w:r>
      <w:r>
        <w:rPr>
          <w:sz w:val="21"/>
          <w:vertAlign w:val="superscript"/>
        </w:rPr>
        <w:t>A</w:t>
      </w:r>
      <w:r>
        <w:rPr>
          <w:sz w:val="21"/>
        </w:rPr>
        <w:t>X</w:t>
      </w:r>
      <w:r>
        <w:rPr>
          <w:sz w:val="21"/>
          <w:vertAlign w:val="superscript"/>
        </w:rPr>
        <w:t>-</w:t>
      </w:r>
      <w:r>
        <w:rPr>
          <w:sz w:val="21"/>
        </w:rPr>
        <w:t>），父本果蝇基因型必为X</w:t>
      </w:r>
      <w:r>
        <w:rPr>
          <w:sz w:val="21"/>
          <w:vertAlign w:val="superscript"/>
        </w:rPr>
        <w:t>A</w:t>
      </w:r>
      <w:r>
        <w:rPr>
          <w:sz w:val="21"/>
        </w:rPr>
        <w:t>Y</w:t>
      </w:r>
      <w:r>
        <w:rPr>
          <w:sz w:val="21"/>
          <w:vertAlign w:val="superscript"/>
        </w:rPr>
        <w:t>a</w:t>
      </w:r>
      <w:r>
        <w:rPr>
          <w:sz w:val="21"/>
        </w:rPr>
        <w:t>，B正确；</w:t>
      </w:r>
    </w:p>
    <w:p w14:paraId="18A3959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C、若母本的基因型是X</w:t>
      </w:r>
      <w:r>
        <w:rPr>
          <w:sz w:val="21"/>
          <w:vertAlign w:val="superscript"/>
        </w:rPr>
        <w:t>A</w:t>
      </w:r>
      <w:r>
        <w:rPr>
          <w:sz w:val="21"/>
        </w:rPr>
        <w:t>X</w:t>
      </w:r>
      <w:r>
        <w:rPr>
          <w:sz w:val="21"/>
          <w:vertAlign w:val="superscript"/>
        </w:rPr>
        <w:t>A</w:t>
      </w:r>
      <w:r>
        <w:rPr>
          <w:sz w:val="21"/>
        </w:rPr>
        <w:t>，无论父本的基因型是什么，子代全为翻翅，因此，若所有子代均为翻翅，父本基因型不一定是X</w:t>
      </w:r>
      <w:r>
        <w:rPr>
          <w:sz w:val="21"/>
          <w:vertAlign w:val="superscript"/>
        </w:rPr>
        <w:t>A</w:t>
      </w:r>
      <w:r>
        <w:rPr>
          <w:sz w:val="21"/>
        </w:rPr>
        <w:t>Y</w:t>
      </w:r>
      <w:r>
        <w:rPr>
          <w:sz w:val="21"/>
          <w:vertAlign w:val="superscript"/>
        </w:rPr>
        <w:t>A</w:t>
      </w:r>
      <w:r>
        <w:rPr>
          <w:sz w:val="21"/>
        </w:rPr>
        <w:t>，C错误；</w:t>
      </w:r>
    </w:p>
    <w:p w14:paraId="0DA7199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D、雌性子代全为正常翅（X</w:t>
      </w:r>
      <w:r>
        <w:rPr>
          <w:sz w:val="21"/>
          <w:vertAlign w:val="superscript"/>
        </w:rPr>
        <w:t>a</w:t>
      </w:r>
      <w:r>
        <w:rPr>
          <w:sz w:val="21"/>
        </w:rPr>
        <w:t>X</w:t>
      </w:r>
      <w:r>
        <w:rPr>
          <w:sz w:val="21"/>
          <w:vertAlign w:val="superscript"/>
        </w:rPr>
        <w:t>a</w:t>
      </w:r>
      <w:r>
        <w:rPr>
          <w:sz w:val="21"/>
        </w:rPr>
        <w:t>），雄性子代全为翻翅（X</w:t>
      </w:r>
      <w:r>
        <w:rPr>
          <w:sz w:val="21"/>
          <w:vertAlign w:val="superscript"/>
        </w:rPr>
        <w:t>a</w:t>
      </w:r>
      <w:r>
        <w:rPr>
          <w:sz w:val="21"/>
        </w:rPr>
        <w:t>Y</w:t>
      </w:r>
      <w:r>
        <w:rPr>
          <w:sz w:val="21"/>
          <w:vertAlign w:val="superscript"/>
        </w:rPr>
        <w:t>A</w:t>
      </w:r>
      <w:r>
        <w:rPr>
          <w:sz w:val="21"/>
        </w:rPr>
        <w:t>），父本需提供X</w:t>
      </w:r>
      <w:r>
        <w:rPr>
          <w:sz w:val="21"/>
          <w:vertAlign w:val="superscript"/>
        </w:rPr>
        <w:t>a</w:t>
      </w:r>
      <w:r>
        <w:rPr>
          <w:sz w:val="21"/>
        </w:rPr>
        <w:t>给子代雌果蝇、Y</w:t>
      </w:r>
      <w:r>
        <w:rPr>
          <w:sz w:val="21"/>
          <w:vertAlign w:val="superscript"/>
        </w:rPr>
        <w:t>A</w:t>
      </w:r>
      <w:r>
        <w:rPr>
          <w:sz w:val="21"/>
        </w:rPr>
        <w:t>给子代雄果蝇，基因型必为X</w:t>
      </w:r>
      <w:r>
        <w:rPr>
          <w:sz w:val="21"/>
          <w:vertAlign w:val="superscript"/>
        </w:rPr>
        <w:t>a</w:t>
      </w:r>
      <w:r>
        <w:rPr>
          <w:sz w:val="21"/>
        </w:rPr>
        <w:t>Y</w:t>
      </w:r>
      <w:r>
        <w:rPr>
          <w:sz w:val="21"/>
          <w:vertAlign w:val="superscript"/>
        </w:rPr>
        <w:t>A</w:t>
      </w:r>
      <w:r>
        <w:rPr>
          <w:sz w:val="21"/>
        </w:rPr>
        <w:t>，D正确。</w:t>
      </w:r>
      <w:bookmarkStart w:id="0" w:name="_GoBack"/>
      <w:bookmarkEnd w:id="0"/>
    </w:p>
    <w:p w14:paraId="691E0F8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5．B</w:t>
      </w:r>
    </w:p>
    <w:p w14:paraId="4AC2464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据图可知，①表示光反应阶段，②暗反应阶段，③有氧呼吸第三阶段，④有氧呼吸第二阶段，⑤有氧呼吸第一阶段，该生物既能进行光合作用，又能进行有氧呼吸，说明该细胞为绿色植物的叶肉细胞，故③有氧呼吸第三阶段产生的能量不可用于满足动物骨骼肌生命活动的需要，A错误；</w:t>
      </w:r>
    </w:p>
    <w:p w14:paraId="7D2FC37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B、④过程是有氧呼吸的第二阶段，④过程产生的d为CO</w:t>
      </w:r>
      <w:r>
        <w:rPr>
          <w:sz w:val="21"/>
          <w:vertAlign w:val="subscript"/>
        </w:rPr>
        <w:t>2</w:t>
      </w:r>
      <w:r>
        <w:rPr>
          <w:sz w:val="21"/>
        </w:rPr>
        <w:t>，可提供给叶绿体，用于②暗反应阶段，用于CO</w:t>
      </w:r>
      <w:r>
        <w:rPr>
          <w:sz w:val="21"/>
          <w:vertAlign w:val="subscript"/>
        </w:rPr>
        <w:t>2</w:t>
      </w:r>
      <w:r>
        <w:rPr>
          <w:sz w:val="21"/>
        </w:rPr>
        <w:t>的固定，B正确；</w:t>
      </w:r>
    </w:p>
    <w:p w14:paraId="1914AD9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C、缺氧条件下葡萄糖分解后大部分能量储存在不彻底的氧化产物酒精和乳酸中，C错误；</w:t>
      </w:r>
    </w:p>
    <w:p w14:paraId="2A97CC1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D、葡萄糖的氧化分解发生在细胞质基质中，与线粒体无关，所以受损的线粒体功能退化不会直接影响葡萄糖的氧化分解，D错误。</w:t>
      </w:r>
    </w:p>
    <w:p w14:paraId="19CC6CE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6．D</w:t>
      </w:r>
    </w:p>
    <w:p w14:paraId="6A7D3AB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【详解】A、观察根尖分生区组织细胞的有丝分裂实验中，将解离后的根尖用清水漂洗后再用甲紫染液染色，A错误；</w:t>
      </w:r>
    </w:p>
    <w:p w14:paraId="2A7A87E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B、检测蛋白质时，需先加双缩脲试剂A液，摇匀后再加双缩脲试剂B液，B错误；</w:t>
      </w:r>
    </w:p>
    <w:p w14:paraId="7D68927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C光合色素的提取和分离过程中，用无水乙醇提取色素后，再利用层析液分离色素，C错误；</w:t>
      </w:r>
    </w:p>
    <w:p w14:paraId="5090B20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D、观察细胞质的流动，可用细胞质基质中的叶绿体的运动作为标志，观察细胞质流动时，先低倍镜找到特定区域的黑藻叶肉细胞，再换高倍镜观察叶绿体随细胞质流动，D正确。</w:t>
      </w:r>
    </w:p>
    <w:p w14:paraId="488CFBB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7．B</w:t>
      </w:r>
    </w:p>
    <w:p w14:paraId="3FAC3ED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【详解】A、K</w:t>
      </w:r>
      <w:r>
        <w:rPr>
          <w:sz w:val="21"/>
          <w:vertAlign w:val="superscript"/>
        </w:rPr>
        <w:t>+</w:t>
      </w:r>
      <w:r>
        <w:rPr>
          <w:sz w:val="21"/>
        </w:rPr>
        <w:t>通过K</w:t>
      </w:r>
      <w:r>
        <w:rPr>
          <w:sz w:val="21"/>
          <w:vertAlign w:val="superscript"/>
        </w:rPr>
        <w:t>+</w:t>
      </w:r>
      <w:r>
        <w:rPr>
          <w:sz w:val="21"/>
        </w:rPr>
        <w:t>通道蛋白运出胃壁细胞时不需要与其结合，方式为协助扩散，A错误；</w:t>
      </w:r>
    </w:p>
    <w:p w14:paraId="6798851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B、胃壁细胞通过ATPase蛋白吸收K</w:t>
      </w:r>
      <w:r>
        <w:rPr>
          <w:sz w:val="21"/>
          <w:vertAlign w:val="superscript"/>
        </w:rPr>
        <w:t>+</w:t>
      </w:r>
      <w:r>
        <w:rPr>
          <w:sz w:val="21"/>
        </w:rPr>
        <w:t>和释放H</w:t>
      </w:r>
      <w:r>
        <w:rPr>
          <w:sz w:val="21"/>
          <w:vertAlign w:val="superscript"/>
        </w:rPr>
        <w:t>+</w:t>
      </w:r>
      <w:r>
        <w:rPr>
          <w:sz w:val="21"/>
        </w:rPr>
        <w:t>时ATPase蛋白会发生磷酸化，蛋白质结构改变，B正确；</w:t>
      </w:r>
    </w:p>
    <w:p w14:paraId="33F485E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C、Cl</w:t>
      </w:r>
      <w:r>
        <w:rPr>
          <w:sz w:val="21"/>
          <w:vertAlign w:val="superscript"/>
        </w:rPr>
        <w:t>-</w:t>
      </w:r>
      <w:r>
        <w:rPr>
          <w:sz w:val="21"/>
        </w:rPr>
        <w:t>经Cl</w:t>
      </w:r>
      <w:r>
        <w:rPr>
          <w:sz w:val="21"/>
          <w:vertAlign w:val="superscript"/>
        </w:rPr>
        <w:t>-</w:t>
      </w:r>
      <w:r>
        <w:rPr>
          <w:sz w:val="21"/>
        </w:rPr>
        <w:t>通道运出胃壁细胞为协助扩散，胞内Cl</w:t>
      </w:r>
      <w:r>
        <w:rPr>
          <w:sz w:val="21"/>
          <w:vertAlign w:val="superscript"/>
        </w:rPr>
        <w:t>-</w:t>
      </w:r>
      <w:r>
        <w:rPr>
          <w:sz w:val="21"/>
        </w:rPr>
        <w:t>浓度大于胞外，因此Cl</w:t>
      </w:r>
      <w:r>
        <w:rPr>
          <w:sz w:val="21"/>
          <w:vertAlign w:val="superscript"/>
        </w:rPr>
        <w:t>-</w:t>
      </w:r>
      <w:r>
        <w:rPr>
          <w:sz w:val="21"/>
        </w:rPr>
        <w:t>运进细胞为主动运输，消耗HCO</w:t>
      </w:r>
      <w:r>
        <w:rPr>
          <w:sz w:val="21"/>
          <w:vertAlign w:val="subscript"/>
        </w:rPr>
        <w:t>3</w:t>
      </w:r>
      <w:r>
        <w:rPr>
          <w:sz w:val="21"/>
          <w:vertAlign w:val="superscript"/>
        </w:rPr>
        <w:t>-</w:t>
      </w:r>
      <w:r>
        <w:rPr>
          <w:sz w:val="21"/>
        </w:rPr>
        <w:t>势能，C错误；</w:t>
      </w:r>
    </w:p>
    <w:p w14:paraId="5124B22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D、H</w:t>
      </w:r>
      <w:r>
        <w:rPr>
          <w:sz w:val="21"/>
          <w:vertAlign w:val="superscript"/>
        </w:rPr>
        <w:t>+</w:t>
      </w:r>
      <w:r>
        <w:rPr>
          <w:sz w:val="21"/>
        </w:rPr>
        <w:t>/K</w:t>
      </w:r>
      <w:r>
        <w:rPr>
          <w:sz w:val="21"/>
          <w:vertAlign w:val="superscript"/>
        </w:rPr>
        <w:t>+</w:t>
      </w:r>
      <w:r>
        <w:rPr>
          <w:sz w:val="21"/>
        </w:rPr>
        <w:t>ATPase在不同的位点结合两种不同离子，说明载体蛋白有特异性，D错误。</w:t>
      </w:r>
    </w:p>
    <w:p w14:paraId="1DD4B6A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8．C</w:t>
      </w:r>
    </w:p>
    <w:p w14:paraId="25F2C23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【详解】A、G</w:t>
      </w:r>
      <w:r>
        <w:rPr>
          <w:sz w:val="21"/>
          <w:vertAlign w:val="subscript"/>
        </w:rPr>
        <w:t>1</w:t>
      </w:r>
      <w:r>
        <w:rPr>
          <w:sz w:val="21"/>
        </w:rPr>
        <w:t>期主要进行RNA和蛋白质的合成，但表中G</w:t>
      </w:r>
      <w:r>
        <w:rPr>
          <w:sz w:val="21"/>
          <w:vertAlign w:val="subscript"/>
        </w:rPr>
        <w:t>1</w:t>
      </w:r>
      <w:r>
        <w:rPr>
          <w:sz w:val="21"/>
        </w:rPr>
        <w:t>期细胞比例增加，表明细胞停滞在此阶段，并非促进该阶段活动，不符合题意，A错误；</w:t>
      </w:r>
    </w:p>
    <w:p w14:paraId="35A7016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B、纺锤体形成发生在M期，而G</w:t>
      </w:r>
      <w:r>
        <w:rPr>
          <w:sz w:val="21"/>
          <w:vertAlign w:val="subscript"/>
        </w:rPr>
        <w:t>2</w:t>
      </w:r>
      <w:r>
        <w:rPr>
          <w:sz w:val="21"/>
        </w:rPr>
        <w:t>+M期比例减少，说明M期进程受阻，B错误；</w:t>
      </w:r>
    </w:p>
    <w:p w14:paraId="69ABF3F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C、S期需DNA复制酶完成DNA复制，S期比例下降表明DNA复制被抑制，可能因饥饿抑制相关酶合成，C正确；</w:t>
      </w:r>
    </w:p>
    <w:p w14:paraId="16658AA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D、染色体数目加倍发生在有丝分裂后期，但M期比例减少，说明未进入或完成该阶段，D错误。</w:t>
      </w:r>
    </w:p>
    <w:p w14:paraId="2562867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9．D</w:t>
      </w:r>
    </w:p>
    <w:p w14:paraId="3F96C5F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【详解】A、稻虱缨小蜂与褐飞虱之间是寄生关系，对彼此而言互为密度制约因素，A正确；</w:t>
      </w:r>
    </w:p>
    <w:p w14:paraId="69D8797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褐飞虱选择到二化螟为害稻株上刺吸水稻茎叶汁液和产卵。褐飞虱与二化螟共同为害水稻时，可显著抑制水稻防御反应，消除对二化螟幼虫生长发育的负面影响。说明褐飞虱和二化螟的生态位不完全相同，种间竞争并不激烈，B正确；</w:t>
      </w:r>
    </w:p>
    <w:p w14:paraId="2D3B62D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C、由题干信息可知，水稻介导的二化螟和褐飞虱已发展为“互利共存”的关系，C正确；</w:t>
      </w:r>
    </w:p>
    <w:p w14:paraId="12E6266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D、褐飞虱与二化螟共同为害水稻时，可显著抑制水稻防御反应，消除对二化螟幼虫生长发育的负面影响。故驱动褐飞虱和二化螟共同为害水稻的原因是两者互利共存，D错误。</w:t>
      </w:r>
    </w:p>
    <w:p w14:paraId="5F08AE7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10．C</w:t>
      </w:r>
    </w:p>
    <w:p w14:paraId="5B8AAEA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【详解】A、题图显示：A、B、C都有箭头指向D，D有箭头指向A，遗体残骸能被C利用，说明D是大气中的CO</w:t>
      </w:r>
      <w:r>
        <w:rPr>
          <w:sz w:val="21"/>
          <w:vertAlign w:val="subscript"/>
        </w:rPr>
        <w:t>2</w:t>
      </w:r>
      <w:r>
        <w:rPr>
          <w:sz w:val="21"/>
        </w:rPr>
        <w:t>库，A是生产者，B是消费者，C为分解者，生产者是生态系统的基石，消费者在生态系统的物质循环中具有重要作用，A错误；</w:t>
      </w:r>
    </w:p>
    <w:p w14:paraId="5188E7C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B、“碳中和”是指通过植树造林、节能减排等形式，抵消CO</w:t>
      </w:r>
      <w:r>
        <w:rPr>
          <w:sz w:val="21"/>
          <w:vertAlign w:val="subscript"/>
        </w:rPr>
        <w:t>2</w:t>
      </w:r>
      <w:r>
        <w:rPr>
          <w:sz w:val="21"/>
        </w:rPr>
        <w:t>排放总量，实现相对“零排放”，用图中数字构建数学模型即为⑧＝①＋②＋③＋④，B错误；</w:t>
      </w:r>
    </w:p>
    <w:p w14:paraId="620A947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C、碳元素在生物群落间以含碳有机物形式流动，在图中的序号是⑤⑥⑦⑨，C正确；</w:t>
      </w:r>
    </w:p>
    <w:p w14:paraId="5D7EB6D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D、植树造林是“碳捕集”的重要措施，使用清洁能源等是达成“碳减排”的重要措施，D错误。</w:t>
      </w:r>
    </w:p>
    <w:p w14:paraId="04B9495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11．A</w:t>
      </w:r>
    </w:p>
    <w:p w14:paraId="7D08B6B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【分析】基因工程中作为载体的条件：（1）携带目的基因能够在宿主细胞内进行自我复制；（2）有一个至多个限制酶的切割位点，便于目的基因的插入；（3）具有标记基因，便于重组DNA分子的筛选。</w:t>
      </w:r>
    </w:p>
    <w:p w14:paraId="6D31669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 、步骤①通过逆转录法获取目的基因，此过程需要逆转录酶催化，而不是 RNA 聚合酶，RNA 聚合酶用于转录过程，A 错误；</w:t>
      </w:r>
    </w:p>
    <w:p w14:paraId="36689AF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B、构建 AAV 表达载体时，在 RPE65 基因前连接视网膜特异性启动子，这样可以使 RPE65 基因在视网膜细胞中特异性表达，B 正确；</w:t>
      </w:r>
    </w:p>
    <w:p w14:paraId="008DBE4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C、通过视网膜下注射转入，能够让 AAV 载体更准确、高效地导入视网膜细胞，从而实现对病变细胞的治疗，C 正确；</w:t>
      </w:r>
    </w:p>
    <w:p w14:paraId="7E138E6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D、检测患者在低光照下的导航能力是否增强，是从个体生物学水平对治疗效果进行鉴定，D正确。</w:t>
      </w:r>
    </w:p>
    <w:p w14:paraId="6C2CA10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12．B</w:t>
      </w:r>
    </w:p>
    <w:p w14:paraId="1F69CFA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分析】植物体细胞杂交是指将不同种的植物体细胞，在一定条件下融合成杂种细胞，并把杂种细胞培育成新的植物体的技术。诱导原生质体融合的方法：物理法（离心、振动、电激等）和化学法（聚乙二醇等）。植物体细胞杂交的意义：克服远缘杂交不亲和的障碍，扩大亲本范围，培育作物新品种。</w:t>
      </w:r>
    </w:p>
    <w:p w14:paraId="56FD18D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【详解】A、从图1可知，前体物质在酶A作用下生成青霉素，在酶B作用下生成头孢霉素。 若敲除青霉菌中控制酶B合成的基因，那么前体物质就不会在酶B作用下生成头孢霉素，只会在酶A作用下生成青霉素，A正确；</w:t>
      </w:r>
    </w:p>
    <w:p w14:paraId="0451D42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B、青霉菌是真菌，其细胞壁主要成分是几丁质等；透明颤菌是细菌，其细胞壁主要成分是肽聚糖。 由于二者细胞壁成分不同，去除细胞壁时所用的酶不一样，不是用相同的酶去除细胞壁获得原生质体，B错误；</w:t>
      </w:r>
    </w:p>
    <w:p w14:paraId="7A0CFD3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C、③过程是原生质体融合，没有细胞壁， 在略高渗溶液中细胞不会吸水引起涨破。采用PEG融合法诱导原生质体融合是常见的技术手段，能够促使不同的原生质体融合，C正确；</w:t>
      </w:r>
    </w:p>
    <w:p w14:paraId="2C132B7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D、甲硫氨酸营养缺陷型青霉菌不能在缺乏甲硫氨酸的培养基上生长，精氨酸营养缺陷型透明颤菌不能在缺乏精氨酸的培养基上生长。 只有融合细胞含有两者的遗传物质，能在缺乏甲硫氨酸和精氨酸的基本培养基上生长，所以可利用缺乏甲硫氨酸和精氨酸的基本培养基筛选出融合细胞，D正确。</w:t>
      </w:r>
    </w:p>
    <w:p w14:paraId="4755E9F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13．D</w:t>
      </w:r>
    </w:p>
    <w:p w14:paraId="16A44C0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【详解】A、结合图示可知，物种灭绝风险与科年龄成正相关，与科多样化率、科地理分布范围成负相关，A正确；</w:t>
      </w:r>
    </w:p>
    <w:p w14:paraId="5A3C51A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B、较低的种子产量会影响植物的繁殖数量，雌雄异株使得繁殖依赖于雌雄个体的相遇，依赖其他生物传粉也增加了繁殖的不确定性，这些功能性状都会使植物灭绝风险加大，B正确；</w:t>
      </w:r>
    </w:p>
    <w:p w14:paraId="7791E9C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C、榕小蜂演化出特殊的头部结构钻进榕树花序取食花蜜并传粉，榕树为榕小蜂提供食物，榕小蜂为榕树传粉，二者相互影响、共同进化，这是协同进化的表现，C正确；</w:t>
      </w:r>
    </w:p>
    <w:p w14:paraId="6D0B065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D、科年龄越大，物种灭绝的风险越高，科多样化率越小，结合题干可知物种分支多样化率是指在一定时间内，某一特定生物类群中新物种形成的速率，因此科年龄与新物种形成的速率存在负相关关系，D错误。</w:t>
      </w:r>
    </w:p>
    <w:p w14:paraId="3850EFB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14．A</w:t>
      </w:r>
    </w:p>
    <w:p w14:paraId="58AA8F1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【详解】A、据图，Ⅱ-1个体患病男性，则该个体的基因型可能为X</w:t>
      </w:r>
      <w:r>
        <w:rPr>
          <w:sz w:val="21"/>
          <w:vertAlign w:val="superscript"/>
        </w:rPr>
        <w:t>F+</w:t>
      </w:r>
      <w:r>
        <w:rPr>
          <w:sz w:val="21"/>
        </w:rPr>
        <w:t>Y、X</w:t>
      </w:r>
      <w:r>
        <w:rPr>
          <w:sz w:val="21"/>
          <w:vertAlign w:val="superscript"/>
        </w:rPr>
        <w:t>f</w:t>
      </w:r>
      <w:r>
        <w:rPr>
          <w:sz w:val="21"/>
        </w:rPr>
        <w:t>Y，则 Ⅰ-2个体中可能含有X</w:t>
      </w:r>
      <w:r>
        <w:rPr>
          <w:sz w:val="21"/>
          <w:vertAlign w:val="superscript"/>
        </w:rPr>
        <w:t>F+</w:t>
      </w:r>
      <w:r>
        <w:rPr>
          <w:sz w:val="21"/>
        </w:rPr>
        <w:t>或X</w:t>
      </w:r>
      <w:r>
        <w:rPr>
          <w:sz w:val="21"/>
          <w:vertAlign w:val="superscript"/>
        </w:rPr>
        <w:t>f</w:t>
      </w:r>
      <w:r>
        <w:rPr>
          <w:sz w:val="21"/>
        </w:rPr>
        <w:t>基因的卵细胞，由于在卵细胞形成过程中，F基因的（CGG）n重复次数会显著增加，所以F基因可能突变为F</w:t>
      </w:r>
      <w:r>
        <w:rPr>
          <w:sz w:val="21"/>
          <w:vertAlign w:val="superscript"/>
        </w:rPr>
        <w:t>+</w:t>
      </w:r>
      <w:r>
        <w:rPr>
          <w:sz w:val="21"/>
        </w:rPr>
        <w:t>基因、f基因，故可推知，Ⅰ-2的基因型可能为X</w:t>
      </w:r>
      <w:r>
        <w:rPr>
          <w:sz w:val="21"/>
          <w:vertAlign w:val="superscript"/>
        </w:rPr>
        <w:t>F</w:t>
      </w:r>
      <w:r>
        <w:rPr>
          <w:sz w:val="21"/>
        </w:rPr>
        <w:t>X</w:t>
      </w:r>
      <w:r>
        <w:rPr>
          <w:sz w:val="21"/>
          <w:vertAlign w:val="superscript"/>
        </w:rPr>
        <w:t>F</w:t>
      </w:r>
      <w:r>
        <w:rPr>
          <w:sz w:val="21"/>
        </w:rPr>
        <w:t>，A错误；</w:t>
      </w:r>
    </w:p>
    <w:p w14:paraId="13882C3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BC、由于F基因位于X染色体上，含f基因的男性的基因型为X</w:t>
      </w:r>
      <w:r>
        <w:rPr>
          <w:sz w:val="21"/>
          <w:vertAlign w:val="superscript"/>
        </w:rPr>
        <w:t>f</w:t>
      </w:r>
      <w:r>
        <w:rPr>
          <w:sz w:val="21"/>
        </w:rPr>
        <w:t>Y，该男性一定患病，含一个f基因的女性的基因型X</w:t>
      </w:r>
      <w:r>
        <w:rPr>
          <w:sz w:val="21"/>
          <w:vertAlign w:val="superscript"/>
        </w:rPr>
        <w:t>F</w:t>
      </w:r>
      <w:r>
        <w:rPr>
          <w:sz w:val="21"/>
        </w:rPr>
        <w:t>X</w:t>
      </w:r>
      <w:r>
        <w:rPr>
          <w:sz w:val="21"/>
          <w:vertAlign w:val="superscript"/>
        </w:rPr>
        <w:t>f</w:t>
      </w:r>
      <w:r>
        <w:rPr>
          <w:sz w:val="21"/>
        </w:rPr>
        <w:t>、X</w:t>
      </w:r>
      <w:r>
        <w:rPr>
          <w:sz w:val="21"/>
          <w:vertAlign w:val="superscript"/>
        </w:rPr>
        <w:t>F+</w:t>
      </w:r>
      <w:r>
        <w:rPr>
          <w:sz w:val="21"/>
        </w:rPr>
        <w:t>X</w:t>
      </w:r>
      <w:r>
        <w:rPr>
          <w:sz w:val="21"/>
          <w:vertAlign w:val="superscript"/>
        </w:rPr>
        <w:t>f</w:t>
      </w:r>
      <w:r>
        <w:rPr>
          <w:sz w:val="21"/>
        </w:rPr>
        <w:t>，若该女性的基因型是X</w:t>
      </w:r>
      <w:r>
        <w:rPr>
          <w:sz w:val="21"/>
          <w:vertAlign w:val="superscript"/>
        </w:rPr>
        <w:t>F+</w:t>
      </w:r>
      <w:r>
        <w:rPr>
          <w:sz w:val="21"/>
        </w:rPr>
        <w:t>X</w:t>
      </w:r>
      <w:r>
        <w:rPr>
          <w:sz w:val="21"/>
          <w:vertAlign w:val="superscript"/>
        </w:rPr>
        <w:t>f</w:t>
      </w:r>
      <w:r>
        <w:rPr>
          <w:sz w:val="21"/>
        </w:rPr>
        <w:t>，则有可能患病，BC正确；</w:t>
      </w:r>
    </w:p>
    <w:p w14:paraId="1873FB9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D、调查脆性X综合征的发病率需在人群中随机调查，D正确。</w:t>
      </w:r>
    </w:p>
    <w:p w14:paraId="4C507C1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15．C</w:t>
      </w:r>
    </w:p>
    <w:p w14:paraId="5224B96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【详解】A、已知m</w:t>
      </w:r>
      <w:r>
        <w:rPr>
          <w:sz w:val="21"/>
          <w:vertAlign w:val="subscript"/>
        </w:rPr>
        <w:t>2</w:t>
      </w:r>
      <w:r>
        <w:rPr>
          <w:sz w:val="21"/>
        </w:rPr>
        <w:t>的JA受体功能异常，WT的JA受体功能正常。①和③的自变量为砧木不同（JA受体功能是否正常），与对照组①相比，实验组③的砧木m</w:t>
      </w:r>
      <w:r>
        <w:rPr>
          <w:sz w:val="21"/>
          <w:vertAlign w:val="subscript"/>
        </w:rPr>
        <w:t>2</w:t>
      </w:r>
      <w:r>
        <w:rPr>
          <w:sz w:val="21"/>
        </w:rPr>
        <w:t>叶片没有检测到PI mRNA，说明砧木m</w:t>
      </w:r>
      <w:r>
        <w:rPr>
          <w:sz w:val="21"/>
          <w:vertAlign w:val="subscript"/>
        </w:rPr>
        <w:t>2</w:t>
      </w:r>
      <w:r>
        <w:rPr>
          <w:sz w:val="21"/>
        </w:rPr>
        <w:t>叶片PI基因没有表达，究其原因是m</w:t>
      </w:r>
      <w:r>
        <w:rPr>
          <w:sz w:val="21"/>
          <w:vertAlign w:val="subscript"/>
        </w:rPr>
        <w:t>2</w:t>
      </w:r>
      <w:r>
        <w:rPr>
          <w:sz w:val="21"/>
        </w:rPr>
        <w:t>的JA受体功能异常，使得m</w:t>
      </w:r>
      <w:r>
        <w:rPr>
          <w:sz w:val="21"/>
          <w:vertAlign w:val="subscript"/>
        </w:rPr>
        <w:t>2</w:t>
      </w:r>
      <w:r>
        <w:rPr>
          <w:sz w:val="21"/>
        </w:rPr>
        <w:t>无法感应JA信号，导致PI基因不表达，A正确；</w:t>
      </w:r>
    </w:p>
    <w:p w14:paraId="71E212C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B、由题意和表中信息可知：接穗m</w:t>
      </w:r>
      <w:r>
        <w:rPr>
          <w:sz w:val="21"/>
          <w:vertAlign w:val="subscript"/>
        </w:rPr>
        <w:t>2</w:t>
      </w:r>
      <w:r>
        <w:rPr>
          <w:sz w:val="21"/>
        </w:rPr>
        <w:t>合成的JA可运输至砧木m</w:t>
      </w:r>
      <w:r>
        <w:rPr>
          <w:sz w:val="21"/>
          <w:vertAlign w:val="subscript"/>
        </w:rPr>
        <w:t>1</w:t>
      </w:r>
      <w:r>
        <w:rPr>
          <w:sz w:val="21"/>
        </w:rPr>
        <w:t>并与m</w:t>
      </w:r>
      <w:r>
        <w:rPr>
          <w:sz w:val="21"/>
          <w:vertAlign w:val="subscript"/>
        </w:rPr>
        <w:t>1</w:t>
      </w:r>
      <w:r>
        <w:rPr>
          <w:sz w:val="21"/>
        </w:rPr>
        <w:t>的JA受体结合，进而诱导PI基因表达，因此对照表中②的接穗叶片PI mRNA的含量可推知：④的砧木叶片PI mRNA表达量应为“++”， B正确；</w:t>
      </w:r>
    </w:p>
    <w:p w14:paraId="2654B49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C、对嫁接类型m</w:t>
      </w:r>
      <w:r>
        <w:rPr>
          <w:sz w:val="21"/>
          <w:vertAlign w:val="subscript"/>
        </w:rPr>
        <w:t>1</w:t>
      </w:r>
      <w:r>
        <w:rPr>
          <w:sz w:val="21"/>
        </w:rPr>
        <w:t>/m</w:t>
      </w:r>
      <w:r>
        <w:rPr>
          <w:sz w:val="21"/>
          <w:vertAlign w:val="subscript"/>
        </w:rPr>
        <w:t>2</w:t>
      </w:r>
      <w:r>
        <w:rPr>
          <w:sz w:val="21"/>
        </w:rPr>
        <w:t>的砧木进行创伤，砧木m</w:t>
      </w:r>
      <w:r>
        <w:rPr>
          <w:sz w:val="21"/>
          <w:vertAlign w:val="subscript"/>
        </w:rPr>
        <w:t>2</w:t>
      </w:r>
      <w:r>
        <w:rPr>
          <w:sz w:val="21"/>
        </w:rPr>
        <w:t>合成的JA可运输至接穗m</w:t>
      </w:r>
      <w:r>
        <w:rPr>
          <w:sz w:val="21"/>
          <w:vertAlign w:val="subscript"/>
        </w:rPr>
        <w:t>1</w:t>
      </w:r>
      <w:r>
        <w:rPr>
          <w:sz w:val="21"/>
        </w:rPr>
        <w:t>（JA合成途径缺陷，但JA受体功能正常）并与m</w:t>
      </w:r>
      <w:r>
        <w:rPr>
          <w:sz w:val="21"/>
          <w:vertAlign w:val="subscript"/>
        </w:rPr>
        <w:t>1</w:t>
      </w:r>
      <w:r>
        <w:rPr>
          <w:sz w:val="21"/>
        </w:rPr>
        <w:t>的JA受体结合，进而诱导PI基因表达，C错误；</w:t>
      </w:r>
    </w:p>
    <w:p w14:paraId="396EC4F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由题意并综合上述分析可知：茉莉酸由植物创伤部位合成，可在局部作用或运输至其他部位，与靶细胞的受体结合后发挥作用，是一种植物激素，该实验体现了植物通过激素信号传递实现整体防御，是长期自然选择形成的适应性特征，D正确。</w:t>
      </w:r>
    </w:p>
    <w:p w14:paraId="17E0C73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16．C</w:t>
      </w:r>
    </w:p>
    <w:p w14:paraId="31DE1A3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【详解】A、sgRNA通过碱基互补配对引导Cas9切割特定DNA序列，若与正常基因部分互补，可能引发脱靶效应，导致错误切割，A正确；</w:t>
      </w:r>
    </w:p>
    <w:p w14:paraId="6D467D5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B、Cas9切割突变HBB基因后，细胞可利用导入的正常基因片段作为修复模板进行修复，但外源模板可能被细胞内核酸酶降解，影响修复效率，B正确；</w:t>
      </w:r>
    </w:p>
    <w:p w14:paraId="08A269A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C、基因表达载体需启动子驱动sgRNA基因和Cas9基因的转录，需要添加启动子，标记基因用于筛选成功转化的细胞，C错误；</w:t>
      </w:r>
    </w:p>
    <w:p w14:paraId="4D0933B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D、不同患者的HBB基因突变位点不同，需设计特异性sgRNA靶向对应突变序列，D正确。</w:t>
      </w:r>
    </w:p>
    <w:p w14:paraId="2F07825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17．(1)     抑制     暗（CO</w:t>
      </w:r>
      <w:r>
        <w:rPr>
          <w:sz w:val="21"/>
          <w:vertAlign w:val="subscript"/>
        </w:rPr>
        <w:t>2</w:t>
      </w:r>
      <w:r>
        <w:rPr>
          <w:sz w:val="21"/>
        </w:rPr>
        <w:t>的固定）     乙醇酸从叶绿体进入过氧化物酶体在G酶的参与下进行代谢</w:t>
      </w:r>
    </w:p>
    <w:p w14:paraId="257FEB0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“A酶”改为“G酶”（“A酶”改为“G酶、M酶、A酶”）     GMA途径使得CO</w:t>
      </w:r>
      <w:r>
        <w:rPr>
          <w:sz w:val="21"/>
          <w:vertAlign w:val="subscript"/>
        </w:rPr>
        <w:t>2</w:t>
      </w:r>
      <w:r>
        <w:rPr>
          <w:sz w:val="21"/>
        </w:rPr>
        <w:t>/O</w:t>
      </w:r>
      <w:r>
        <w:rPr>
          <w:sz w:val="21"/>
          <w:vertAlign w:val="subscript"/>
        </w:rPr>
        <w:t>2</w:t>
      </w:r>
      <w:r>
        <w:rPr>
          <w:sz w:val="21"/>
        </w:rPr>
        <w:t>↑</w:t>
      </w:r>
    </w:p>
    <w:p w14:paraId="230CD03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气孔导度、CO</w:t>
      </w:r>
      <w:r>
        <w:rPr>
          <w:sz w:val="21"/>
          <w:vertAlign w:val="subscript"/>
        </w:rPr>
        <w:t>2</w:t>
      </w:r>
      <w:r>
        <w:rPr>
          <w:sz w:val="21"/>
        </w:rPr>
        <w:t>浓度、温度     内源G酶表达量显著升高</w:t>
      </w:r>
    </w:p>
    <w:p w14:paraId="19F1B73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(4)C→B→A</w:t>
      </w:r>
    </w:p>
    <w:p w14:paraId="02485E1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【详解】（1）据图分析，CO</w:t>
      </w:r>
      <w:r>
        <w:rPr>
          <w:sz w:val="21"/>
          <w:vertAlign w:val="subscript"/>
        </w:rPr>
        <w:t>2</w:t>
      </w:r>
      <w:r>
        <w:rPr>
          <w:sz w:val="21"/>
        </w:rPr>
        <w:t>与R酶结合后进行光合作用的暗反应阶段，同时O</w:t>
      </w:r>
      <w:r>
        <w:rPr>
          <w:sz w:val="21"/>
          <w:vertAlign w:val="subscript"/>
        </w:rPr>
        <w:t>2</w:t>
      </w:r>
      <w:r>
        <w:rPr>
          <w:sz w:val="21"/>
        </w:rPr>
        <w:t>也能够和R酶结合生成2-PG，所以光呼吸过程中，O</w:t>
      </w:r>
      <w:r>
        <w:rPr>
          <w:sz w:val="21"/>
          <w:vertAlign w:val="subscript"/>
        </w:rPr>
        <w:t>2</w:t>
      </w:r>
      <w:r>
        <w:rPr>
          <w:sz w:val="21"/>
        </w:rPr>
        <w:t>与CO</w:t>
      </w:r>
      <w:r>
        <w:rPr>
          <w:sz w:val="21"/>
          <w:vertAlign w:val="subscript"/>
        </w:rPr>
        <w:t>2</w:t>
      </w:r>
      <w:r>
        <w:rPr>
          <w:sz w:val="21"/>
        </w:rPr>
        <w:t>竞争结合R酶，从而抑制了光合作用中暗反应（CO</w:t>
      </w:r>
      <w:r>
        <w:rPr>
          <w:sz w:val="21"/>
          <w:vertAlign w:val="subscript"/>
        </w:rPr>
        <w:t>2</w:t>
      </w:r>
      <w:r>
        <w:rPr>
          <w:sz w:val="21"/>
        </w:rPr>
        <w:t>的固定）的进行。同时乙醇酸从叶绿体进入过氧化物酶体在G酶的参与下进行代谢，造成碳流失，进而导致水稻减产。</w:t>
      </w:r>
    </w:p>
    <w:p w14:paraId="44C3D3C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将外源G酶、A酶和M酶的基因导入水稻细胞获得转基因水稻，转基因水稻的净光合速率、植株干重等方面均高于对照组。由此说明，R酶与CO2的亲和力更高，从而更有利于进行暗反应。而图2只有A酶一种，要想提高细胞内的CO</w:t>
      </w:r>
      <w:r>
        <w:rPr>
          <w:sz w:val="21"/>
          <w:vertAlign w:val="subscript"/>
        </w:rPr>
        <w:t>2</w:t>
      </w:r>
      <w:r>
        <w:rPr>
          <w:sz w:val="21"/>
        </w:rPr>
        <w:t>浓度，则必须要有G酶，通过G酶可以将乙醇酸转变为乙醛酸，后者需要M酶的催化生成苹果酸，苹果酸进一步转化为丙酮酸，丙酮酸产生CO</w:t>
      </w:r>
      <w:r>
        <w:rPr>
          <w:sz w:val="21"/>
          <w:vertAlign w:val="subscript"/>
        </w:rPr>
        <w:t>2</w:t>
      </w:r>
      <w:r>
        <w:rPr>
          <w:sz w:val="21"/>
        </w:rPr>
        <w:t>用于暗反应。如果只有A酶一种，只能清除体内H</w:t>
      </w:r>
      <w:r>
        <w:rPr>
          <w:sz w:val="21"/>
          <w:vertAlign w:val="subscript"/>
        </w:rPr>
        <w:t>2</w:t>
      </w:r>
      <w:r>
        <w:rPr>
          <w:sz w:val="21"/>
        </w:rPr>
        <w:t>O</w:t>
      </w:r>
      <w:r>
        <w:rPr>
          <w:sz w:val="21"/>
          <w:vertAlign w:val="subscript"/>
        </w:rPr>
        <w:t>2</w:t>
      </w:r>
      <w:r>
        <w:rPr>
          <w:sz w:val="21"/>
        </w:rPr>
        <w:t>，并不能增加CO</w:t>
      </w:r>
      <w:r>
        <w:rPr>
          <w:sz w:val="21"/>
          <w:vertAlign w:val="subscript"/>
        </w:rPr>
        <w:t>2</w:t>
      </w:r>
      <w:r>
        <w:rPr>
          <w:sz w:val="21"/>
        </w:rPr>
        <w:t>浓度，因此需要将A酶改为“G酶、M酶、A酶”，如果GMA途径发挥作用，那么细胞内的CO</w:t>
      </w:r>
      <w:r>
        <w:rPr>
          <w:sz w:val="21"/>
          <w:vertAlign w:val="subscript"/>
        </w:rPr>
        <w:t>2</w:t>
      </w:r>
      <w:r>
        <w:rPr>
          <w:sz w:val="21"/>
        </w:rPr>
        <w:t>浓度升高，所以细胞内的CO</w:t>
      </w:r>
      <w:r>
        <w:rPr>
          <w:sz w:val="21"/>
          <w:vertAlign w:val="subscript"/>
        </w:rPr>
        <w:t>2</w:t>
      </w:r>
      <w:r>
        <w:rPr>
          <w:sz w:val="21"/>
        </w:rPr>
        <w:t>/O</w:t>
      </w:r>
      <w:r>
        <w:rPr>
          <w:sz w:val="21"/>
          <w:vertAlign w:val="subscript"/>
        </w:rPr>
        <w:t>2</w:t>
      </w:r>
      <w:r>
        <w:rPr>
          <w:sz w:val="21"/>
        </w:rPr>
        <w:t>↑而不是CO</w:t>
      </w:r>
      <w:r>
        <w:rPr>
          <w:sz w:val="21"/>
          <w:vertAlign w:val="subscript"/>
        </w:rPr>
        <w:t>2</w:t>
      </w:r>
      <w:r>
        <w:rPr>
          <w:sz w:val="21"/>
        </w:rPr>
        <w:t>/O</w:t>
      </w:r>
      <w:r>
        <w:rPr>
          <w:sz w:val="21"/>
          <w:vertAlign w:val="subscript"/>
        </w:rPr>
        <w:t>2</w:t>
      </w:r>
      <w:r>
        <w:rPr>
          <w:sz w:val="21"/>
        </w:rPr>
        <w:t>低，所以需要将CO</w:t>
      </w:r>
      <w:r>
        <w:rPr>
          <w:sz w:val="21"/>
          <w:vertAlign w:val="subscript"/>
        </w:rPr>
        <w:t>2</w:t>
      </w:r>
      <w:r>
        <w:rPr>
          <w:sz w:val="21"/>
        </w:rPr>
        <w:t>/O</w:t>
      </w:r>
      <w:r>
        <w:rPr>
          <w:sz w:val="21"/>
          <w:vertAlign w:val="subscript"/>
        </w:rPr>
        <w:t>2</w:t>
      </w:r>
      <w:r>
        <w:rPr>
          <w:sz w:val="21"/>
        </w:rPr>
        <w:t>低改为CO</w:t>
      </w:r>
      <w:r>
        <w:rPr>
          <w:sz w:val="21"/>
          <w:vertAlign w:val="subscript"/>
        </w:rPr>
        <w:t>2</w:t>
      </w:r>
      <w:r>
        <w:rPr>
          <w:sz w:val="21"/>
        </w:rPr>
        <w:t>/O</w:t>
      </w:r>
      <w:r>
        <w:rPr>
          <w:sz w:val="21"/>
          <w:vertAlign w:val="subscript"/>
        </w:rPr>
        <w:t>2</w:t>
      </w:r>
      <w:r>
        <w:rPr>
          <w:sz w:val="21"/>
        </w:rPr>
        <w:t>↑。</w:t>
      </w:r>
    </w:p>
    <w:p w14:paraId="6F6CA18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（3）外源G酶基因表达除光强外，还可能与气孔导度、CO</w:t>
      </w:r>
      <w:r>
        <w:rPr>
          <w:sz w:val="21"/>
          <w:vertAlign w:val="subscript"/>
        </w:rPr>
        <w:t>2</w:t>
      </w:r>
      <w:r>
        <w:rPr>
          <w:sz w:val="21"/>
        </w:rPr>
        <w:t>浓度、温度等因素有关。据图3可知，12~14时，总G酶和外源G酶的表达量差值最大，说明内源G酶表达量显著升高，推测此时段转基因水稻光呼吸增强。</w:t>
      </w:r>
    </w:p>
    <w:p w14:paraId="615EE8D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（4）本研究中GMA途径的改造并未降低水稻的结实率，合理解释为：尽管GMA途径促进叶片产生较多光合产物→外源G酶基因表达除光强外影响，还可能受气孔导度、CO</w:t>
      </w:r>
      <w:r>
        <w:rPr>
          <w:sz w:val="21"/>
          <w:vertAlign w:val="subscript"/>
        </w:rPr>
        <w:t>2</w:t>
      </w:r>
      <w:r>
        <w:rPr>
          <w:sz w:val="21"/>
        </w:rPr>
        <w:t>浓度、温度等因素的影响，使中午进入GMA途径的乙醇酸未显著增加→光呼吸增强使得光合产物未爆发式增加→光合产物可以及时运输到籽粒→水稻茎中有机物不至于过度堆积而保证结实率，即为C→B→A。</w:t>
      </w:r>
    </w:p>
    <w:p w14:paraId="1D3B63F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18．(1)     基本情况相似的健康孕妇     正相关</w:t>
      </w:r>
    </w:p>
    <w:p w14:paraId="6466320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(2)葡萄糖氧化分解后会产热</w:t>
      </w:r>
    </w:p>
    <w:p w14:paraId="3FA26A3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减少     SHBG分泌减少，导致游离的性激素会增加，孕期性激素含量与IR程度之间最可能为正相关，则胰岛素含量也会增加，会加剧IR（胰岛素抵抗）程度，引发恶性循环导致GDM</w:t>
      </w:r>
    </w:p>
    <w:p w14:paraId="4EC9F8D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(4)孕妇可以在饮食上对糖摄入量进行适当控制</w:t>
      </w:r>
    </w:p>
    <w:p w14:paraId="5D0C90D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为探讨妊娠期糖尿病（GDM）的发病机制，研究小组选择GDM孕妇（GDM组）和正常的健康孕妇（作为对照组）为研究对象。据表可知，GDM组的性激素含量明显高于对照组，故孕期性激素含量与IR程度之间最可能的关系为正相关。</w:t>
      </w:r>
    </w:p>
    <w:p w14:paraId="2DE24A3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（2）服糖后导致血糖升高，机体利用葡萄糖氧化分解供能增加，葡萄糖氧化分解释放的能量中一部分能量以热能形式散失，使体温略有上升，故服糖一小时后测得孕妇体温略有上升。</w:t>
      </w:r>
    </w:p>
    <w:p w14:paraId="5A91BFB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（3）SHBG分泌减少，导致游离的性激素会增加，根据小问（3）可知，孕期性激素含量与IR程度之间最可能为正相关，则胰岛素含量也会增加，会加剧IR（胰岛素抵抗）程度，引发恶性循环导致GDM。</w:t>
      </w:r>
    </w:p>
    <w:p w14:paraId="4B87E6B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（4）为避免GDM，即妊娠糖尿病，孕妇可以在饮食上对糖摄入量进行适当控制。</w:t>
      </w:r>
    </w:p>
    <w:p w14:paraId="5142368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19．(1)     水平     有利于充分利用空间和资源</w:t>
      </w:r>
    </w:p>
    <w:p w14:paraId="2A9FA29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23.64%     生态系统的营养结构越复杂，生态系统自我调节能力越强</w:t>
      </w:r>
    </w:p>
    <w:p w14:paraId="6827550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树种类别、淹水时间     不同的红树植物分布于不同潮间带</w:t>
      </w:r>
    </w:p>
    <w:p w14:paraId="0EB17D1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(4)人类活动或环境恶化</w:t>
      </w:r>
    </w:p>
    <w:p w14:paraId="62A519E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因地形变化引起潮间带中分布着不同的生物，体现群落空间结构中的水平结构，水平结构常表现为镶嵌分布。每种生物都占据着相对稳定的生态位，从生态位角度分析，这种分布的意义是有利于充分利用空间和资源。</w:t>
      </w:r>
    </w:p>
    <w:p w14:paraId="2DB74CB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β多样性是衡量这些群落间物种组成差异的指标，其计算公式为：β=（群落a独有物种数+群落b独有物种数）/（群落a物种数+群落b物种数）；可见低潮带与中潮带的β多样性为（8+5）/（30+25）=13/55≈23.64%；生物多样性越丰富表明生态系统的营养结构越复杂，生态系统自我调节能力越强，故β多样性高的群落抵抗外界干扰的能力更强。</w:t>
      </w:r>
    </w:p>
    <w:p w14:paraId="424DC31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实验目的为探究淹水时间对红树植物幼苗生长的影响，根据题意可知，自变量为树种类别、淹水时间，因变量可用株高增长率表示；若白骨壤在12小时组生长最好，秋茄在4小时组生长最好，说明不同的红树植物分布于不同潮间带。</w:t>
      </w:r>
    </w:p>
    <w:p w14:paraId="1CB8C32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（4）β多样性下降原因是多方面的，可能是人类活动或环境恶化导致特有树种减少。</w:t>
      </w:r>
    </w:p>
    <w:p w14:paraId="6BE5616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 xml:space="preserve">20．(1)     易感病、矮秆     AaBb   </w:t>
      </w:r>
    </w:p>
    <w:p w14:paraId="744A49B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两对等位基因位于1对同源染色体上     A和B连锁，a和b连锁，F</w:t>
      </w:r>
      <w:r>
        <w:rPr>
          <w:sz w:val="21"/>
          <w:vertAlign w:val="subscript"/>
        </w:rPr>
        <w:t>1</w:t>
      </w:r>
      <w:r>
        <w:rPr>
          <w:sz w:val="21"/>
        </w:rPr>
        <w:t>减数分裂时发生片段交换，产生4AB∶1Ab∶1aB∶4ab的雌雄配子，雌雄配子随机结合</w:t>
      </w:r>
    </w:p>
    <w:p w14:paraId="2D3CF77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AabbD 或AAbbD     9/16</w:t>
      </w:r>
    </w:p>
    <w:p w14:paraId="7817A2B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【详解】（1）抗病、高秆植株和易感病、矮秆植株杂交得F</w:t>
      </w:r>
      <w:r>
        <w:rPr>
          <w:sz w:val="21"/>
          <w:vertAlign w:val="subscript"/>
        </w:rPr>
        <w:t>1</w:t>
      </w:r>
      <w:r>
        <w:rPr>
          <w:sz w:val="21"/>
        </w:rPr>
        <w:t>均为抗病、高秆植株，故抗病、高秆为显性性状，感病、矮秆为隐性性状，F</w:t>
      </w:r>
      <w:r>
        <w:rPr>
          <w:sz w:val="21"/>
          <w:vertAlign w:val="subscript"/>
        </w:rPr>
        <w:t>1</w:t>
      </w:r>
      <w:r>
        <w:rPr>
          <w:sz w:val="21"/>
        </w:rPr>
        <w:t>的基因型为AaBb。</w:t>
      </w:r>
    </w:p>
    <w:p w14:paraId="4471F2F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（2）亲本(AABB和aabb)杂交得F</w:t>
      </w:r>
      <w:r>
        <w:rPr>
          <w:sz w:val="21"/>
          <w:vertAlign w:val="subscript"/>
        </w:rPr>
        <w:t>1</w:t>
      </w:r>
      <w:r>
        <w:rPr>
          <w:sz w:val="21"/>
        </w:rPr>
        <w:t>(AaBb)自交所得F</w:t>
      </w:r>
      <w:r>
        <w:rPr>
          <w:sz w:val="21"/>
          <w:vertAlign w:val="subscript"/>
        </w:rPr>
        <w:t>2</w:t>
      </w:r>
      <w:r>
        <w:rPr>
          <w:sz w:val="21"/>
        </w:rPr>
        <w:t>中抗病、矮秆植株所占比例为9％，不符合9∶3∶3∶1的变式，即不遵循自由组合定律，故推测两对等位基因位于1对同源染色体上。A和B连锁，a和b连锁，F</w:t>
      </w:r>
      <w:r>
        <w:rPr>
          <w:sz w:val="21"/>
          <w:vertAlign w:val="subscript"/>
        </w:rPr>
        <w:t>1</w:t>
      </w:r>
      <w:r>
        <w:rPr>
          <w:sz w:val="21"/>
        </w:rPr>
        <w:t>减数分裂时发生片段交换，产生4AB∶1Ab∶1aB∶4ab的雌雄配子，雌雄配子随机结合，F</w:t>
      </w:r>
      <w:r>
        <w:rPr>
          <w:sz w:val="21"/>
          <w:vertAlign w:val="subscript"/>
        </w:rPr>
        <w:t>2</w:t>
      </w:r>
      <w:r>
        <w:rPr>
          <w:sz w:val="21"/>
        </w:rPr>
        <w:t>中抗病、矮秆植株所占比例为9％。</w:t>
      </w:r>
    </w:p>
    <w:p w14:paraId="2578B31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（3）结合题意和图2可知，植株①自交后代中抗病植株均不含有抗虫基因，故D和a在一条染色体上，植株①的相关基因在染色体上分布情况为</w:t>
      </w:r>
      <w:r>
        <w:rPr>
          <w:rFonts w:ascii="Times New Roman" w:hAnsi="Times New Roman" w:eastAsia="Times New Roman" w:cs="Times New Roman"/>
          <w:strike w:val="0"/>
          <w:kern w:val="0"/>
          <w:sz w:val="24"/>
          <w:szCs w:val="24"/>
          <w:u w:val="none"/>
        </w:rPr>
        <w:drawing>
          <wp:inline distT="0" distB="0" distL="114300" distR="114300">
            <wp:extent cx="911225" cy="842645"/>
            <wp:effectExtent l="0" t="0" r="3175" b="8255"/>
            <wp:docPr id="1425992311" name="图片 1425992311" descr="@@@18551aad-4a42-42a0-ad8a-9d788c0362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992311" name="图片 1425992311" descr="@@@18551aad-4a42-42a0-ad8a-9d788c0362a6"/>
                    <pic:cNvPicPr>
                      <a:picLocks noChangeAspect="1"/>
                    </pic:cNvPicPr>
                  </pic:nvPicPr>
                  <pic:blipFill>
                    <a:blip r:embed="rId30"/>
                    <a:stretch>
                      <a:fillRect/>
                    </a:stretch>
                  </pic:blipFill>
                  <pic:spPr>
                    <a:xfrm>
                      <a:off x="0" y="0"/>
                      <a:ext cx="911225" cy="842645"/>
                    </a:xfrm>
                    <a:prstGeom prst="rect">
                      <a:avLst/>
                    </a:prstGeom>
                  </pic:spPr>
                </pic:pic>
              </a:graphicData>
            </a:graphic>
          </wp:inline>
        </w:drawing>
      </w:r>
      <w:r>
        <w:rPr>
          <w:sz w:val="21"/>
        </w:rPr>
        <w:t>；植株②自交后代中抗病植株均抗虫，故D和A在一条染色体上，植株②的相关基因在染色体上分布情况为</w:t>
      </w:r>
      <w:r>
        <w:rPr>
          <w:rFonts w:ascii="Times New Roman" w:hAnsi="Times New Roman" w:eastAsia="Times New Roman" w:cs="Times New Roman"/>
          <w:strike w:val="0"/>
          <w:kern w:val="0"/>
          <w:sz w:val="24"/>
          <w:szCs w:val="24"/>
          <w:u w:val="none"/>
        </w:rPr>
        <w:drawing>
          <wp:inline distT="0" distB="0" distL="114300" distR="114300">
            <wp:extent cx="762635" cy="752475"/>
            <wp:effectExtent l="0" t="0" r="12065" b="9525"/>
            <wp:docPr id="902182292" name="图片 902182292" descr="@@@a7e10b3c-466e-4649-9ada-c2b8acb1f9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182292" name="图片 902182292" descr="@@@a7e10b3c-466e-4649-9ada-c2b8acb1f9ca"/>
                    <pic:cNvPicPr>
                      <a:picLocks noChangeAspect="1"/>
                    </pic:cNvPicPr>
                  </pic:nvPicPr>
                  <pic:blipFill>
                    <a:blip r:embed="rId31"/>
                    <a:stretch>
                      <a:fillRect/>
                    </a:stretch>
                  </pic:blipFill>
                  <pic:spPr>
                    <a:xfrm>
                      <a:off x="0" y="0"/>
                      <a:ext cx="762635" cy="752475"/>
                    </a:xfrm>
                    <a:prstGeom prst="rect">
                      <a:avLst/>
                    </a:prstGeom>
                  </pic:spPr>
                </pic:pic>
              </a:graphicData>
            </a:graphic>
          </wp:inline>
        </w:drawing>
      </w:r>
      <w:r>
        <w:rPr>
          <w:sz w:val="21"/>
        </w:rPr>
        <w:t>或</w:t>
      </w:r>
      <w:r>
        <w:rPr>
          <w:rFonts w:ascii="Times New Roman" w:hAnsi="Times New Roman" w:eastAsia="Times New Roman" w:cs="Times New Roman"/>
          <w:strike w:val="0"/>
          <w:kern w:val="0"/>
          <w:sz w:val="24"/>
          <w:szCs w:val="24"/>
          <w:u w:val="none"/>
        </w:rPr>
        <w:drawing>
          <wp:inline distT="0" distB="0" distL="114300" distR="114300">
            <wp:extent cx="729615" cy="683895"/>
            <wp:effectExtent l="0" t="0" r="6985" b="1905"/>
            <wp:docPr id="706515961" name="图片 706515961" descr="@@@a6317f66-4701-4794-b584-1c70103cc6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515961" name="图片 706515961" descr="@@@a6317f66-4701-4794-b584-1c70103cc63c"/>
                    <pic:cNvPicPr>
                      <a:picLocks noChangeAspect="1"/>
                    </pic:cNvPicPr>
                  </pic:nvPicPr>
                  <pic:blipFill>
                    <a:blip r:embed="rId32"/>
                    <a:stretch>
                      <a:fillRect/>
                    </a:stretch>
                  </pic:blipFill>
                  <pic:spPr>
                    <a:xfrm>
                      <a:off x="0" y="0"/>
                      <a:ext cx="729615" cy="683895"/>
                    </a:xfrm>
                    <a:prstGeom prst="rect">
                      <a:avLst/>
                    </a:prstGeom>
                  </pic:spPr>
                </pic:pic>
              </a:graphicData>
            </a:graphic>
          </wp:inline>
        </w:drawing>
      </w:r>
      <w:r>
        <w:rPr>
          <w:sz w:val="21"/>
        </w:rPr>
        <w:t>，故植株②的基因型是AabbD或AAbbDD；据图3可知，植株③自交子代中，抗病、矮秆、抗虫(A_bbD_)植株所占比例为9/16。</w:t>
      </w:r>
    </w:p>
    <w:p w14:paraId="719359E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21．(1)     能发出     TetR基因的表达产物TetR蛋白对启动子2具有抑制作用，四环素可解除该抑制作用，故GFP基因得以表达出绿色荧光蛋白并发出荧光</w:t>
      </w:r>
    </w:p>
    <w:p w14:paraId="358D999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5'     Xba I</w:t>
      </w:r>
    </w:p>
    <w:p w14:paraId="6411EC3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w:t>
      </w:r>
      <w:r>
        <w:rPr>
          <w:rFonts w:ascii="Times New Roman" w:hAnsi="Times New Roman" w:eastAsia="Times New Roman" w:cs="Times New Roman"/>
          <w:strike w:val="0"/>
          <w:kern w:val="0"/>
          <w:sz w:val="24"/>
          <w:szCs w:val="24"/>
          <w:u w:val="none"/>
        </w:rPr>
        <w:drawing>
          <wp:inline distT="0" distB="0" distL="114300" distR="114300">
            <wp:extent cx="1270000" cy="981075"/>
            <wp:effectExtent l="0" t="0" r="0" b="9525"/>
            <wp:docPr id="1322275596" name="图片 1322275596" descr="@@@70c3635e-8f52-4e43-a3aa-6be410be79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275596" name="图片 1322275596" descr="@@@70c3635e-8f52-4e43-a3aa-6be410be79a7"/>
                    <pic:cNvPicPr>
                      <a:picLocks noChangeAspect="1"/>
                    </pic:cNvPicPr>
                  </pic:nvPicPr>
                  <pic:blipFill>
                    <a:blip r:embed="rId33"/>
                    <a:stretch>
                      <a:fillRect/>
                    </a:stretch>
                  </pic:blipFill>
                  <pic:spPr>
                    <a:xfrm>
                      <a:off x="0" y="0"/>
                      <a:ext cx="1270000" cy="981075"/>
                    </a:xfrm>
                    <a:prstGeom prst="rect">
                      <a:avLst/>
                    </a:prstGeom>
                  </pic:spPr>
                </pic:pic>
              </a:graphicData>
            </a:graphic>
          </wp:inline>
        </w:drawing>
      </w:r>
    </w:p>
    <w:p w14:paraId="613A384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 琼脂糖凝胶电泳     四环素浓度变化是否能引起大肠杆菌工程菌荧光强度的相应改变</w:t>
      </w:r>
    </w:p>
    <w:p w14:paraId="5DCEE6A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据图1分析可知，当环境中不含四环素时，该大肠杆菌工程菌TetR基因表达的TetR蛋白会抑制启动子2的作用，抑制GFP基因表达绿色荧光蛋白，因此不发出荧光。当环境中四环素水平较高时，四环素能够解除TetR蛋白对启动子2的抑制作用，绿色荧光蛋白基因得以表达并发出荧光。</w:t>
      </w:r>
    </w:p>
    <w:p w14:paraId="34AA591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（2）据图2可知，GFP基因两端的限制酶识别序列是Spe I和BamHI，若要让两个DNA片段连接在一起，需要经酶切后获得相同的黏性末端。TetR基因内部有Spe I的识别序列，故不能选择Spe I切割其左侧，据图3可知，Spe I和Xba I酶切能获得相同的黏性末端，故可在引物1的5'端添加限制酶Xba I的识别序列。</w:t>
      </w:r>
    </w:p>
    <w:p w14:paraId="51736DA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（3）构建融合基因时，TetR基因用Xbal和EcoRI酶切，GFP基因用Spel和BamHl酶切，然后再用DNA连接酶将两个DNA片段连接在一起，启动子1和启动子2是反向连接的。如下图所示：</w:t>
      </w:r>
    </w:p>
    <w:p w14:paraId="4EC1D89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86840" cy="1069340"/>
            <wp:effectExtent l="0" t="0" r="10160" b="10160"/>
            <wp:docPr id="620883494" name="图片 620883494" descr="@@@fa40c6ba-8315-4317-9f0e-f6abbea6b1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883494" name="图片 620883494" descr="@@@fa40c6ba-8315-4317-9f0e-f6abbea6b13b"/>
                    <pic:cNvPicPr>
                      <a:picLocks noChangeAspect="1"/>
                    </pic:cNvPicPr>
                  </pic:nvPicPr>
                  <pic:blipFill>
                    <a:blip r:embed="rId33"/>
                    <a:stretch>
                      <a:fillRect/>
                    </a:stretch>
                  </pic:blipFill>
                  <pic:spPr>
                    <a:xfrm>
                      <a:off x="0" y="0"/>
                      <a:ext cx="1386840" cy="1069340"/>
                    </a:xfrm>
                    <a:prstGeom prst="rect">
                      <a:avLst/>
                    </a:prstGeom>
                  </pic:spPr>
                </pic:pic>
              </a:graphicData>
            </a:graphic>
          </wp:inline>
        </w:drawing>
      </w:r>
    </w:p>
    <w:p w14:paraId="648F009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为了确定重组质粒和大肠杆菌工程菌建构成功，可用PCR技术进行检测，PCR完成以后常采用琼脂糖凝胶电泳来鉴定PCR的产物。也可通过观察四环素浓度变化是否能引起大肠杆菌工程菌荧光强度的相应改变来进行鉴定。</w:t>
      </w:r>
    </w:p>
    <w:sectPr>
      <w:headerReference r:id="rId5" w:type="default"/>
      <w:footerReference r:id="rId7" w:type="default"/>
      <w:headerReference r:id="rId6" w:type="even"/>
      <w:footerReference r:id="rId8"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F2787D">
    <w:pPr>
      <w:pStyle w:val="2"/>
      <w:ind w:firstLine="1620" w:firstLineChars="900"/>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2C4853">
                          <w:pPr>
                            <w:pStyle w:val="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282C4853">
                    <w:pPr>
                      <w:pStyle w:val="2"/>
                    </w:pPr>
                  </w:p>
                </w:txbxContent>
              </v:textbox>
            </v:shape>
          </w:pict>
        </mc:Fallback>
      </mc:AlternateContent>
    </w:r>
    <w:r>
      <w:rPr>
        <w:rFonts w:hint="eastAsia"/>
        <w:lang w:val="en-US" w:eastAsia="zh-CN"/>
      </w:rPr>
      <w:t>暑假生物综合练习卷四</w:t>
    </w:r>
    <w:r>
      <w:rPr>
        <w:rFonts w:hint="eastAsia"/>
      </w:rPr>
      <w:t>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2821D6">
    <w:pPr>
      <w:pStyle w:val="2"/>
      <w:ind w:firstLine="1620" w:firstLineChars="90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E68554">
                          <w:pPr>
                            <w:pStyle w:val="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4EE68554">
                    <w:pPr>
                      <w:pStyle w:val="2"/>
                    </w:pPr>
                  </w:p>
                </w:txbxContent>
              </v:textbox>
            </v:shape>
          </w:pict>
        </mc:Fallback>
      </mc:AlternateContent>
    </w:r>
    <w:r>
      <w:rPr>
        <w:rFonts w:hint="eastAsia"/>
        <w:lang w:val="en-US" w:eastAsia="zh-CN"/>
      </w:rPr>
      <w:t>暑假生物综合练习卷四</w:t>
    </w:r>
    <w:r>
      <w:rPr>
        <w:rFonts w:hint="eastAsia"/>
      </w:rPr>
      <w:t>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14:paraId="24D78036">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EA3F03">
    <w:pPr>
      <w:pStyle w:val="2"/>
      <w:ind w:firstLine="900" w:firstLineChars="500"/>
      <w:rPr>
        <w:rFonts w:hint="default"/>
        <w:lang w:val="en-US"/>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ECBC5B">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5CECBC5B">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v:textbox>
            </v:shape>
          </w:pict>
        </mc:Fallback>
      </mc:AlternateContent>
    </w:r>
    <w:r>
      <w:rPr>
        <w:rFonts w:hint="eastAsia"/>
        <w:lang w:val="en-US" w:eastAsia="zh-CN"/>
      </w:rPr>
      <w:t>暑假生物综合练习卷四参考答案</w:t>
    </w:r>
  </w:p>
  <w:p w14:paraId="325826BC">
    <w:pPr>
      <w:pStyle w:val="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E65BB5">
    <w:pPr>
      <w:pStyle w:val="2"/>
      <w:ind w:firstLine="900" w:firstLineChars="500"/>
      <w:rPr>
        <w:rFonts w:hint="default"/>
        <w:lang w:val="en-US"/>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CA5EF7">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15CA5EF7">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v:textbox>
            </v:shape>
          </w:pict>
        </mc:Fallback>
      </mc:AlternateContent>
    </w:r>
    <w:r>
      <w:rPr>
        <w:rFonts w:hint="eastAsia"/>
        <w:lang w:val="en-US" w:eastAsia="zh-CN"/>
      </w:rPr>
      <w:t>暑假生物综合练习卷六参考答案</w:t>
    </w:r>
  </w:p>
  <w:p w14:paraId="362F71ED">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0626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0BC556"/>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3"/>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036A2B59"/>
    <w:rsid w:val="114C494B"/>
    <w:rsid w:val="46F56910"/>
    <w:rsid w:val="5428129F"/>
    <w:rsid w:val="659A0956"/>
    <w:rsid w:val="76B80C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footer" Target="footer2.xml"/><Relationship Id="rId36" Type="http://schemas.openxmlformats.org/officeDocument/2006/relationships/fontTable" Target="fontTable.xml"/><Relationship Id="rId35" Type="http://schemas.openxmlformats.org/officeDocument/2006/relationships/customXml" Target="../customXml/item2.xml"/><Relationship Id="rId34" Type="http://schemas.openxmlformats.org/officeDocument/2006/relationships/customXml" Target="../customXml/item1.xml"/><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er" Target="foot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wmf"/><Relationship Id="rId12" Type="http://schemas.openxmlformats.org/officeDocument/2006/relationships/oleObject" Target="embeddings/oleObject1.bin"/><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16</Pages>
  <Words>3995</Words>
  <Characters>4371</Characters>
  <Lines>0</Lines>
  <Paragraphs>0</Paragraphs>
  <TotalTime>1</TotalTime>
  <ScaleCrop>false</ScaleCrop>
  <LinksUpToDate>false</LinksUpToDate>
  <CharactersWithSpaces>4459</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虾米</cp:lastModifiedBy>
  <dcterms:modified xsi:type="dcterms:W3CDTF">2026-06-27T01:07:14Z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{{"ContentPropagator":"XKW","Label":"2","ContentProducer":"XKW"}}</vt:lpwstr>
  </property>
  <property fmtid="{D5CDD505-2E9C-101B-9397-08002B2CF9AE}" pid="3" name="preprocessed">
    <vt:lpwstr>1</vt:lpwstr>
  </property>
  <property fmtid="{D5CDD505-2E9C-101B-9397-08002B2CF9AE}" pid="4" name="version">
    <vt:lpwstr>ab4ff4a84dd14c3a894203fa10ea571cmzi4mjezndm0oa</vt:lpwstr>
  </property>
  <property fmtid="{D5CDD505-2E9C-101B-9397-08002B2CF9AE}" pid="5" name="KSOTemplateDocerSaveRecord">
    <vt:lpwstr>eyJoZGlkIjoiYmEyZDMxNWRkYmY5MjE3NjUxYTk3ZDA1NDUyNmVkYWEiLCJ1c2VySWQiOiI3NjczNDAyODEifQ==</vt:lpwstr>
  </property>
  <property fmtid="{D5CDD505-2E9C-101B-9397-08002B2CF9AE}" pid="6" name="KSOProductBuildVer">
    <vt:lpwstr>2052-12.1.0.26895</vt:lpwstr>
  </property>
  <property fmtid="{D5CDD505-2E9C-101B-9397-08002B2CF9AE}" pid="7" name="ICV">
    <vt:lpwstr>22B5279877D44761AE695F0356D9DA15_13</vt:lpwstr>
  </property>
</Properties>
</file>