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D025381">
      <w:pPr>
        <w:jc w:val="center"/>
        <w:textAlignment w:val="center"/>
        <w:rPr>
          <w:rFonts w:hint="default"/>
          <w:b/>
          <w:bCs/>
          <w:sz w:val="28"/>
          <w:szCs w:val="32"/>
          <w:lang w:val="en-US" w:eastAsia="zh-CN"/>
        </w:rPr>
      </w:pPr>
      <w:r>
        <w:rPr>
          <w:rFonts w:hint="eastAsia"/>
          <w:b/>
          <w:bCs/>
          <w:sz w:val="28"/>
          <w:szCs w:val="32"/>
          <w:lang w:val="en-US" w:eastAsia="zh-CN"/>
        </w:rPr>
        <w:t>深圳外国语学校高中部2027届暑假生物综合练习卷（5）</w:t>
      </w:r>
    </w:p>
    <w:p w14:paraId="0E4D9923">
      <w:pPr>
        <w:jc w:val="left"/>
        <w:textAlignment w:val="center"/>
        <w:rPr>
          <w:rFonts w:ascii="宋体" w:hAnsi="宋体" w:eastAsia="宋体" w:cs="宋体"/>
          <w:b/>
          <w:i w:val="0"/>
          <w:color w:val="000000"/>
          <w:sz w:val="21"/>
        </w:rPr>
      </w:pPr>
      <w:r>
        <w:rPr>
          <w:rFonts w:ascii="宋体" w:hAnsi="宋体" w:eastAsia="宋体" w:cs="宋体"/>
          <w:b/>
          <w:i w:val="0"/>
          <w:color w:val="000000"/>
          <w:sz w:val="21"/>
        </w:rPr>
        <w:t>一、单选题</w:t>
      </w:r>
    </w:p>
    <w:p w14:paraId="3E2F65F3">
      <w:pPr>
        <w:shd w:val="clear" w:color="auto" w:fill="auto"/>
        <w:spacing w:line="360" w:lineRule="auto"/>
        <w:jc w:val="left"/>
        <w:textAlignment w:val="center"/>
        <w:rPr>
          <w:sz w:val="21"/>
        </w:rPr>
      </w:pPr>
      <w:r>
        <w:rPr>
          <w:sz w:val="21"/>
        </w:rPr>
        <w:t>1．海洋是生物医药创新的“蓝色宝库”。深海冷泉独特的高压、低温、营养匮乏环境对开发生物医药具有重要意义。冷泉中的化能自养型生物硫酸盐还原菌（SRB）可用于新型抗病毒药物的研发。用于扩大培养SRB的发酵罐，无需添加的装置是（　　）</w:t>
      </w:r>
    </w:p>
    <w:p w14:paraId="0BCE43DC">
      <w:pPr>
        <w:shd w:val="clear" w:color="auto" w:fill="auto"/>
        <w:spacing w:line="360" w:lineRule="auto"/>
        <w:ind w:left="300"/>
        <w:jc w:val="left"/>
        <w:textAlignment w:val="center"/>
        <w:rPr>
          <w:rFonts w:hint="eastAsia"/>
          <w:sz w:val="21"/>
          <w:lang w:val="en-US" w:eastAsia="zh-CN"/>
        </w:rPr>
      </w:pPr>
      <w:r>
        <w:rPr>
          <w:sz w:val="21"/>
        </w:rPr>
        <w:t>A．高压模拟装置</w:t>
      </w:r>
      <w:r>
        <w:rPr>
          <w:rFonts w:hint="eastAsia"/>
          <w:sz w:val="21"/>
          <w:lang w:val="en-US" w:eastAsia="zh-CN"/>
        </w:rPr>
        <w:t xml:space="preserve">     </w:t>
      </w:r>
      <w:r>
        <w:rPr>
          <w:sz w:val="21"/>
        </w:rPr>
        <w:t>B．自动补料葡萄糖装置</w:t>
      </w:r>
      <w:r>
        <w:rPr>
          <w:rFonts w:hint="eastAsia"/>
          <w:sz w:val="21"/>
          <w:lang w:val="en-US" w:eastAsia="zh-CN"/>
        </w:rPr>
        <w:t xml:space="preserve"> </w:t>
      </w:r>
    </w:p>
    <w:p w14:paraId="24EC0F95">
      <w:pPr>
        <w:shd w:val="clear" w:color="auto" w:fill="auto"/>
        <w:spacing w:line="360" w:lineRule="auto"/>
        <w:ind w:left="300"/>
        <w:jc w:val="left"/>
        <w:textAlignment w:val="center"/>
        <w:rPr>
          <w:sz w:val="21"/>
        </w:rPr>
      </w:pPr>
      <w:r>
        <w:rPr>
          <w:sz w:val="21"/>
        </w:rPr>
        <w:t>C．温度监测装置</w:t>
      </w:r>
      <w:r>
        <w:rPr>
          <w:rFonts w:hint="eastAsia"/>
          <w:sz w:val="21"/>
          <w:lang w:val="en-US" w:eastAsia="zh-CN"/>
        </w:rPr>
        <w:t xml:space="preserve">     </w:t>
      </w:r>
      <w:r>
        <w:rPr>
          <w:sz w:val="21"/>
        </w:rPr>
        <w:t>D．培养液过滤除菌装置</w:t>
      </w:r>
    </w:p>
    <w:p w14:paraId="140A2681">
      <w:pPr>
        <w:shd w:val="clear" w:color="auto" w:fill="auto"/>
        <w:spacing w:line="360" w:lineRule="auto"/>
        <w:jc w:val="left"/>
        <w:textAlignment w:val="center"/>
        <w:rPr>
          <w:sz w:val="21"/>
        </w:rPr>
      </w:pPr>
      <w:r>
        <w:rPr>
          <w:sz w:val="21"/>
        </w:rPr>
        <w:t>2．2025年4月，“健康体重管理”被正式纳入健康中国专项行动。下列与健康体重管理相契合的观点是（　　）</w:t>
      </w:r>
    </w:p>
    <w:p w14:paraId="32A5F994">
      <w:pPr>
        <w:shd w:val="clear" w:color="auto" w:fill="auto"/>
        <w:tabs>
          <w:tab w:val="left" w:pos="2078"/>
          <w:tab w:val="left" w:pos="4156"/>
          <w:tab w:val="left" w:pos="6234"/>
        </w:tabs>
        <w:spacing w:line="360" w:lineRule="auto"/>
        <w:ind w:left="300"/>
        <w:jc w:val="left"/>
        <w:textAlignment w:val="center"/>
        <w:rPr>
          <w:sz w:val="21"/>
        </w:rPr>
      </w:pPr>
      <w:r>
        <w:rPr>
          <w:sz w:val="21"/>
        </w:rPr>
        <w:t>A．科学运动</w:t>
      </w:r>
      <w:r>
        <w:rPr>
          <w:sz w:val="21"/>
        </w:rPr>
        <w:tab/>
      </w:r>
      <w:r>
        <w:rPr>
          <w:sz w:val="21"/>
        </w:rPr>
        <w:t>B．水果代餐</w:t>
      </w:r>
      <w:r>
        <w:rPr>
          <w:sz w:val="21"/>
        </w:rPr>
        <w:tab/>
      </w:r>
      <w:r>
        <w:rPr>
          <w:sz w:val="21"/>
        </w:rPr>
        <w:t>C．不吃主食</w:t>
      </w:r>
      <w:r>
        <w:rPr>
          <w:sz w:val="21"/>
        </w:rPr>
        <w:tab/>
      </w:r>
      <w:r>
        <w:rPr>
          <w:sz w:val="21"/>
        </w:rPr>
        <w:t>D．节食减重</w:t>
      </w:r>
    </w:p>
    <w:p w14:paraId="0A8BD8A9">
      <w:pPr>
        <w:shd w:val="clear" w:color="auto" w:fill="auto"/>
        <w:spacing w:line="360" w:lineRule="auto"/>
        <w:jc w:val="left"/>
        <w:textAlignment w:val="center"/>
        <w:rPr>
          <w:sz w:val="21"/>
        </w:rPr>
      </w:pPr>
      <w:r>
        <w:rPr>
          <w:sz w:val="21"/>
        </w:rPr>
        <w:t>3．茶小卷叶蛾诱芯（一种性引诱剂）可诱捕鳞翅目害虫的雄性个体，使该害虫的繁殖力下降，达到防治茶园虫害目的。该方法主要目的是降低鳞翅目害虫的（　　）</w:t>
      </w:r>
    </w:p>
    <w:p w14:paraId="28A7F830">
      <w:pPr>
        <w:shd w:val="clear" w:color="auto" w:fill="auto"/>
        <w:tabs>
          <w:tab w:val="left" w:pos="2078"/>
          <w:tab w:val="left" w:pos="4156"/>
          <w:tab w:val="left" w:pos="6234"/>
        </w:tabs>
        <w:spacing w:line="360" w:lineRule="auto"/>
        <w:ind w:left="300"/>
        <w:jc w:val="left"/>
        <w:textAlignment w:val="center"/>
        <w:rPr>
          <w:sz w:val="21"/>
        </w:rPr>
      </w:pPr>
      <w:r>
        <w:rPr>
          <w:sz w:val="21"/>
        </w:rPr>
        <w:t>A．迁入率</w:t>
      </w:r>
      <w:r>
        <w:rPr>
          <w:sz w:val="21"/>
        </w:rPr>
        <w:tab/>
      </w:r>
      <w:r>
        <w:rPr>
          <w:sz w:val="21"/>
        </w:rPr>
        <w:t>B．迁出率</w:t>
      </w:r>
      <w:r>
        <w:rPr>
          <w:sz w:val="21"/>
        </w:rPr>
        <w:tab/>
      </w:r>
      <w:r>
        <w:rPr>
          <w:sz w:val="21"/>
        </w:rPr>
        <w:t>C．死亡率</w:t>
      </w:r>
      <w:r>
        <w:rPr>
          <w:sz w:val="21"/>
        </w:rPr>
        <w:tab/>
      </w:r>
      <w:r>
        <w:rPr>
          <w:sz w:val="21"/>
        </w:rPr>
        <w:t>D．出生率</w:t>
      </w:r>
    </w:p>
    <w:p w14:paraId="7906F58E">
      <w:pPr>
        <w:shd w:val="clear" w:color="auto" w:fill="auto"/>
        <w:spacing w:line="360" w:lineRule="auto"/>
        <w:jc w:val="left"/>
        <w:textAlignment w:val="center"/>
        <w:rPr>
          <w:sz w:val="21"/>
        </w:rPr>
      </w:pPr>
      <w:r>
        <w:rPr>
          <w:sz w:val="21"/>
        </w:rPr>
        <w:t>4．氯化筒箭毒碱（一种麻醉辅助药）可与特异性定位于神经-肌肉接头处的N</w:t>
      </w:r>
      <w:r>
        <w:rPr>
          <w:sz w:val="21"/>
          <w:vertAlign w:val="subscript"/>
        </w:rPr>
        <w:t>2</w:t>
      </w:r>
      <w:r>
        <w:rPr>
          <w:sz w:val="21"/>
        </w:rPr>
        <w:t>型乙酰胆碱受体结合，阻断兴奋向骨骼肌传导。据此推测，下列过程不会被氯化筒箭毒碱阻断的是（　　）</w:t>
      </w:r>
    </w:p>
    <w:p w14:paraId="240F1020">
      <w:pPr>
        <w:shd w:val="clear" w:color="auto" w:fill="auto"/>
        <w:tabs>
          <w:tab w:val="left" w:pos="2078"/>
          <w:tab w:val="left" w:pos="4156"/>
          <w:tab w:val="left" w:pos="6234"/>
        </w:tabs>
        <w:spacing w:line="360" w:lineRule="auto"/>
        <w:ind w:left="300"/>
        <w:jc w:val="left"/>
        <w:textAlignment w:val="center"/>
        <w:rPr>
          <w:sz w:val="21"/>
        </w:rPr>
      </w:pPr>
      <w:r>
        <w:rPr>
          <w:sz w:val="21"/>
        </w:rPr>
        <w:t>A．兴奋传递</w:t>
      </w:r>
      <w:r>
        <w:rPr>
          <w:sz w:val="21"/>
        </w:rPr>
        <w:tab/>
      </w:r>
      <w:r>
        <w:rPr>
          <w:sz w:val="21"/>
        </w:rPr>
        <w:t>B．阳离子内流</w:t>
      </w:r>
      <w:r>
        <w:rPr>
          <w:sz w:val="21"/>
        </w:rPr>
        <w:tab/>
      </w:r>
      <w:r>
        <w:rPr>
          <w:sz w:val="21"/>
        </w:rPr>
        <w:t>C．痛觉产生</w:t>
      </w:r>
      <w:r>
        <w:rPr>
          <w:sz w:val="21"/>
        </w:rPr>
        <w:tab/>
      </w:r>
      <w:r>
        <w:rPr>
          <w:sz w:val="21"/>
        </w:rPr>
        <w:t>D．骨骼肌收缩</w:t>
      </w:r>
    </w:p>
    <w:p w14:paraId="48626605">
      <w:pPr>
        <w:shd w:val="clear" w:color="auto" w:fill="auto"/>
        <w:spacing w:line="360" w:lineRule="auto"/>
        <w:jc w:val="left"/>
        <w:textAlignment w:val="center"/>
        <w:rPr>
          <w:sz w:val="21"/>
        </w:rPr>
      </w:pPr>
      <w:r>
        <w:rPr>
          <w:sz w:val="21"/>
        </w:rPr>
        <w:t>5．厄尔尼诺事件发生时，西太平洋的海平面下降会导致秋茄生长的土壤盐度上升，植物部分气孔关闭，光合速率下降。秋茄光合速率下降的直接原因是（　　）</w:t>
      </w:r>
    </w:p>
    <w:p w14:paraId="5BBD3C63">
      <w:pPr>
        <w:shd w:val="clear" w:color="auto" w:fill="auto"/>
        <w:spacing w:line="360" w:lineRule="auto"/>
        <w:ind w:left="300"/>
        <w:jc w:val="left"/>
        <w:textAlignment w:val="center"/>
        <w:rPr>
          <w:sz w:val="21"/>
        </w:rPr>
      </w:pPr>
      <w:r>
        <w:rPr>
          <w:sz w:val="21"/>
        </w:rPr>
        <w:t>A．水的光解减少</w:t>
      </w:r>
      <w:r>
        <w:rPr>
          <w:rFonts w:hint="eastAsia"/>
          <w:sz w:val="21"/>
          <w:lang w:val="en-US" w:eastAsia="zh-CN"/>
        </w:rPr>
        <w:t xml:space="preserve">  </w:t>
      </w:r>
      <w:r>
        <w:rPr>
          <w:sz w:val="21"/>
        </w:rPr>
        <w:t>B．ATP供应减少</w:t>
      </w:r>
      <w:r>
        <w:rPr>
          <w:rFonts w:hint="eastAsia"/>
          <w:sz w:val="21"/>
          <w:lang w:val="en-US" w:eastAsia="zh-CN"/>
        </w:rPr>
        <w:t xml:space="preserve">  </w:t>
      </w:r>
      <w:r>
        <w:rPr>
          <w:sz w:val="21"/>
        </w:rPr>
        <w:t>C．C</w:t>
      </w:r>
      <w:r>
        <w:rPr>
          <w:sz w:val="21"/>
          <w:vertAlign w:val="subscript"/>
        </w:rPr>
        <w:t>3</w:t>
      </w:r>
      <w:r>
        <w:rPr>
          <w:sz w:val="21"/>
        </w:rPr>
        <w:t>的生成减少</w:t>
      </w:r>
      <w:r>
        <w:rPr>
          <w:rFonts w:hint="eastAsia"/>
          <w:sz w:val="21"/>
          <w:lang w:val="en-US" w:eastAsia="zh-CN"/>
        </w:rPr>
        <w:t xml:space="preserve">  </w:t>
      </w:r>
      <w:r>
        <w:rPr>
          <w:sz w:val="21"/>
        </w:rPr>
        <w:t>D．C</w:t>
      </w:r>
      <w:r>
        <w:rPr>
          <w:sz w:val="21"/>
          <w:vertAlign w:val="subscript"/>
        </w:rPr>
        <w:t>5</w:t>
      </w:r>
      <w:r>
        <w:rPr>
          <w:sz w:val="21"/>
        </w:rPr>
        <w:t>的数量减少</w:t>
      </w:r>
    </w:p>
    <w:p w14:paraId="021DECAF">
      <w:pPr>
        <w:shd w:val="clear" w:color="auto" w:fill="auto"/>
        <w:spacing w:line="360" w:lineRule="auto"/>
        <w:jc w:val="left"/>
        <w:textAlignment w:val="center"/>
        <w:rPr>
          <w:sz w:val="21"/>
        </w:rPr>
      </w:pPr>
      <w:r>
        <w:rPr>
          <w:sz w:val="21"/>
        </w:rPr>
        <w:t>6．Aurora-B可确保有丝分裂过程中星射线正确附着在染色体上，巴拉塞替是Aurora-B特异性抑制剂。用巴拉塞替处理胃癌细胞后，下列过程会出现异常的是（　　）</w:t>
      </w:r>
    </w:p>
    <w:p w14:paraId="1EFB6DFC">
      <w:pPr>
        <w:shd w:val="clear" w:color="auto" w:fill="auto"/>
        <w:spacing w:line="360" w:lineRule="auto"/>
        <w:ind w:left="300"/>
        <w:jc w:val="left"/>
        <w:textAlignment w:val="center"/>
        <w:rPr>
          <w:sz w:val="21"/>
        </w:rPr>
      </w:pPr>
      <w:r>
        <w:rPr>
          <w:sz w:val="21"/>
        </w:rPr>
        <w:t>A．DNA的复制</w:t>
      </w:r>
      <w:r>
        <w:rPr>
          <w:rFonts w:hint="eastAsia"/>
          <w:sz w:val="21"/>
          <w:lang w:val="en-US" w:eastAsia="zh-CN"/>
        </w:rPr>
        <w:t xml:space="preserve">  </w:t>
      </w:r>
      <w:r>
        <w:rPr>
          <w:sz w:val="21"/>
        </w:rPr>
        <w:t>B．星射线的形成</w:t>
      </w:r>
      <w:r>
        <w:rPr>
          <w:rFonts w:hint="eastAsia"/>
          <w:sz w:val="21"/>
          <w:lang w:val="en-US" w:eastAsia="zh-CN"/>
        </w:rPr>
        <w:t xml:space="preserve"> </w:t>
      </w:r>
      <w:r>
        <w:rPr>
          <w:sz w:val="21"/>
        </w:rPr>
        <w:t>C．着丝粒的排列</w:t>
      </w:r>
      <w:r>
        <w:rPr>
          <w:rFonts w:hint="eastAsia"/>
          <w:sz w:val="21"/>
          <w:lang w:val="en-US" w:eastAsia="zh-CN"/>
        </w:rPr>
        <w:t xml:space="preserve"> </w:t>
      </w:r>
      <w:r>
        <w:rPr>
          <w:sz w:val="21"/>
        </w:rPr>
        <w:t>D．着丝粒的分裂</w:t>
      </w:r>
    </w:p>
    <w:p w14:paraId="2F779B63">
      <w:pPr>
        <w:shd w:val="clear" w:color="auto" w:fill="auto"/>
        <w:spacing w:line="360" w:lineRule="auto"/>
        <w:jc w:val="left"/>
        <w:textAlignment w:val="center"/>
        <w:rPr>
          <w:sz w:val="21"/>
        </w:rPr>
      </w:pPr>
      <w:r>
        <w:rPr>
          <w:sz w:val="21"/>
        </w:rPr>
        <w:t>7．研究发现，MGATI基因突变会造成分泌蛋白不能分泌到细胞外，高尔基体因分泌蛋白积聚而膨大，而内质网形态正常。据此推测MGATI基因表达的蛋白质最可能参与（　　）</w:t>
      </w:r>
    </w:p>
    <w:p w14:paraId="465B34A2">
      <w:pPr>
        <w:shd w:val="clear" w:color="auto" w:fill="auto"/>
        <w:spacing w:line="360" w:lineRule="auto"/>
        <w:ind w:left="300"/>
        <w:jc w:val="left"/>
        <w:textAlignment w:val="center"/>
        <w:rPr>
          <w:sz w:val="21"/>
        </w:rPr>
      </w:pPr>
      <w:r>
        <w:rPr>
          <w:sz w:val="21"/>
        </w:rPr>
        <w:t>A．肽链的合成</w:t>
      </w:r>
      <w:r>
        <w:rPr>
          <w:rFonts w:hint="eastAsia"/>
          <w:sz w:val="21"/>
          <w:lang w:val="en-US" w:eastAsia="zh-CN"/>
        </w:rPr>
        <w:t xml:space="preserve"> </w:t>
      </w:r>
      <w:r>
        <w:rPr>
          <w:sz w:val="21"/>
        </w:rPr>
        <w:t>B．蛋白质的修饰C．囊泡的运输</w:t>
      </w:r>
      <w:r>
        <w:rPr>
          <w:rFonts w:hint="eastAsia"/>
          <w:sz w:val="21"/>
          <w:lang w:val="en-US" w:eastAsia="zh-CN"/>
        </w:rPr>
        <w:t xml:space="preserve"> </w:t>
      </w:r>
      <w:r>
        <w:rPr>
          <w:sz w:val="21"/>
        </w:rPr>
        <w:t>D．蛋白质的水解</w:t>
      </w:r>
    </w:p>
    <w:p w14:paraId="6F1B6B6F">
      <w:pPr>
        <w:shd w:val="clear" w:color="auto" w:fill="auto"/>
        <w:spacing w:line="360" w:lineRule="auto"/>
        <w:jc w:val="left"/>
        <w:textAlignment w:val="center"/>
        <w:rPr>
          <w:sz w:val="21"/>
        </w:rPr>
      </w:pPr>
      <w:r>
        <w:rPr>
          <w:sz w:val="21"/>
        </w:rPr>
        <w:t>8．我国自主研发的全球首款“异体通用型”药品，含人异体诱导多能干细胞（iPS）再生的脊髓神经祖细胞注射液，可改善脊髓损伤患者的运动功能。该药研发过程不涉及（　　）</w:t>
      </w:r>
    </w:p>
    <w:p w14:paraId="3081219C">
      <w:pPr>
        <w:shd w:val="clear" w:color="auto" w:fill="auto"/>
        <w:spacing w:line="360" w:lineRule="auto"/>
        <w:ind w:left="300"/>
        <w:jc w:val="left"/>
        <w:textAlignment w:val="center"/>
        <w:rPr>
          <w:sz w:val="21"/>
        </w:rPr>
      </w:pPr>
      <w:r>
        <w:rPr>
          <w:sz w:val="21"/>
        </w:rPr>
        <w:t>A．胚胎干细胞的伦理争议</w:t>
      </w:r>
      <w:r>
        <w:rPr>
          <w:rFonts w:hint="eastAsia"/>
          <w:sz w:val="21"/>
          <w:lang w:val="en-US" w:eastAsia="zh-CN"/>
        </w:rPr>
        <w:t xml:space="preserve">     </w:t>
      </w:r>
      <w:r>
        <w:rPr>
          <w:sz w:val="21"/>
        </w:rPr>
        <w:t>B．细胞的原代和传代培养</w:t>
      </w:r>
    </w:p>
    <w:p w14:paraId="696EDC59">
      <w:pPr>
        <w:shd w:val="clear" w:color="auto" w:fill="auto"/>
        <w:spacing w:line="360" w:lineRule="auto"/>
        <w:ind w:left="300"/>
        <w:jc w:val="left"/>
        <w:textAlignment w:val="center"/>
        <w:rPr>
          <w:sz w:val="21"/>
        </w:rPr>
      </w:pPr>
      <w:r>
        <w:rPr>
          <w:sz w:val="21"/>
        </w:rPr>
        <w:t>C．给药后免疫排斥的监测</w:t>
      </w:r>
      <w:r>
        <w:rPr>
          <w:rFonts w:hint="eastAsia"/>
          <w:sz w:val="21"/>
          <w:lang w:val="en-US" w:eastAsia="zh-CN"/>
        </w:rPr>
        <w:t xml:space="preserve">     </w:t>
      </w:r>
      <w:r>
        <w:rPr>
          <w:sz w:val="21"/>
        </w:rPr>
        <w:t>D．调控基因的选择性表达</w:t>
      </w:r>
    </w:p>
    <w:p w14:paraId="7AD23C7F">
      <w:pPr>
        <w:shd w:val="clear" w:color="auto" w:fill="auto"/>
        <w:spacing w:line="360" w:lineRule="auto"/>
        <w:jc w:val="left"/>
        <w:textAlignment w:val="center"/>
        <w:rPr>
          <w:sz w:val="21"/>
        </w:rPr>
      </w:pPr>
      <w:r>
        <w:rPr>
          <w:sz w:val="21"/>
        </w:rPr>
        <w:t>9．假说是根据已有的知识和经验作出合理的推断。下列搭配不合理的是（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810"/>
        <w:gridCol w:w="2550"/>
      </w:tblGrid>
      <w:tr w14:paraId="43B7F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73A7F1">
            <w:pPr>
              <w:shd w:val="clear" w:color="auto" w:fill="auto"/>
              <w:spacing w:line="360" w:lineRule="auto"/>
              <w:jc w:val="left"/>
              <w:textAlignment w:val="center"/>
              <w:rPr>
                <w:sz w:val="21"/>
              </w:rPr>
            </w:pPr>
            <w:r>
              <w:rPr>
                <w:sz w:val="21"/>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9A33F0">
            <w:pPr>
              <w:shd w:val="clear" w:color="auto" w:fill="auto"/>
              <w:spacing w:line="360" w:lineRule="auto"/>
              <w:jc w:val="left"/>
              <w:textAlignment w:val="center"/>
              <w:rPr>
                <w:sz w:val="21"/>
              </w:rPr>
            </w:pPr>
            <w:r>
              <w:rPr>
                <w:sz w:val="21"/>
              </w:rPr>
              <w:t>已有的知识和经验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13A528">
            <w:pPr>
              <w:shd w:val="clear" w:color="auto" w:fill="auto"/>
              <w:spacing w:line="360" w:lineRule="auto"/>
              <w:jc w:val="left"/>
              <w:textAlignment w:val="center"/>
              <w:rPr>
                <w:sz w:val="21"/>
              </w:rPr>
            </w:pPr>
            <w:r>
              <w:rPr>
                <w:sz w:val="21"/>
              </w:rPr>
              <w:t>假说</w:t>
            </w:r>
          </w:p>
        </w:tc>
      </w:tr>
      <w:tr w14:paraId="7C6FC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0A40EC">
            <w:pPr>
              <w:shd w:val="clear" w:color="auto" w:fill="auto"/>
              <w:spacing w:line="360" w:lineRule="auto"/>
              <w:jc w:val="left"/>
              <w:textAlignment w:val="center"/>
              <w:rPr>
                <w:sz w:val="21"/>
              </w:rPr>
            </w:pPr>
            <w:r>
              <w:rPr>
                <w:sz w:val="21"/>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03047F">
            <w:pPr>
              <w:shd w:val="clear" w:color="auto" w:fill="auto"/>
              <w:spacing w:line="360" w:lineRule="auto"/>
              <w:jc w:val="left"/>
              <w:textAlignment w:val="center"/>
              <w:rPr>
                <w:sz w:val="21"/>
              </w:rPr>
            </w:pPr>
            <w:r>
              <w:rPr>
                <w:sz w:val="21"/>
              </w:rPr>
              <w:t>水分子通过细胞膜的速率远高于人工膜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CDA65A">
            <w:pPr>
              <w:shd w:val="clear" w:color="auto" w:fill="auto"/>
              <w:spacing w:line="360" w:lineRule="auto"/>
              <w:jc w:val="left"/>
              <w:textAlignment w:val="center"/>
              <w:rPr>
                <w:sz w:val="21"/>
              </w:rPr>
            </w:pPr>
            <w:r>
              <w:rPr>
                <w:sz w:val="21"/>
              </w:rPr>
              <w:t>水通道假说</w:t>
            </w:r>
          </w:p>
        </w:tc>
      </w:tr>
      <w:tr w14:paraId="0F5B5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E6189C">
            <w:pPr>
              <w:shd w:val="clear" w:color="auto" w:fill="auto"/>
              <w:spacing w:line="360" w:lineRule="auto"/>
              <w:jc w:val="left"/>
              <w:textAlignment w:val="center"/>
              <w:rPr>
                <w:sz w:val="21"/>
              </w:rPr>
            </w:pPr>
            <w:r>
              <w:rPr>
                <w:sz w:val="21"/>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850CFB">
            <w:pPr>
              <w:shd w:val="clear" w:color="auto" w:fill="auto"/>
              <w:spacing w:line="360" w:lineRule="auto"/>
              <w:jc w:val="left"/>
              <w:textAlignment w:val="center"/>
              <w:rPr>
                <w:sz w:val="21"/>
              </w:rPr>
            </w:pPr>
            <w:r>
              <w:rPr>
                <w:sz w:val="21"/>
              </w:rPr>
              <w:t>DNA分子的双螺旋结构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5A6EAD">
            <w:pPr>
              <w:shd w:val="clear" w:color="auto" w:fill="auto"/>
              <w:spacing w:line="360" w:lineRule="auto"/>
              <w:jc w:val="left"/>
              <w:textAlignment w:val="center"/>
              <w:rPr>
                <w:sz w:val="21"/>
              </w:rPr>
            </w:pPr>
            <w:r>
              <w:rPr>
                <w:sz w:val="21"/>
              </w:rPr>
              <w:t>半保留复制假说</w:t>
            </w:r>
          </w:p>
        </w:tc>
      </w:tr>
      <w:tr w14:paraId="4AB48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E3779A">
            <w:pPr>
              <w:shd w:val="clear" w:color="auto" w:fill="auto"/>
              <w:spacing w:line="360" w:lineRule="auto"/>
              <w:jc w:val="left"/>
              <w:textAlignment w:val="center"/>
              <w:rPr>
                <w:sz w:val="21"/>
              </w:rPr>
            </w:pPr>
            <w:r>
              <w:rPr>
                <w:sz w:val="21"/>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ED869E">
            <w:pPr>
              <w:shd w:val="clear" w:color="auto" w:fill="auto"/>
              <w:spacing w:line="360" w:lineRule="auto"/>
              <w:jc w:val="left"/>
              <w:textAlignment w:val="center"/>
              <w:rPr>
                <w:sz w:val="21"/>
              </w:rPr>
            </w:pPr>
            <w:r>
              <w:rPr>
                <w:sz w:val="21"/>
              </w:rPr>
              <w:t>切除神经的胰腺能分泌胰液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47CDBE">
            <w:pPr>
              <w:shd w:val="clear" w:color="auto" w:fill="auto"/>
              <w:spacing w:line="360" w:lineRule="auto"/>
              <w:jc w:val="left"/>
              <w:textAlignment w:val="center"/>
              <w:rPr>
                <w:sz w:val="21"/>
              </w:rPr>
            </w:pPr>
            <w:r>
              <w:rPr>
                <w:sz w:val="21"/>
              </w:rPr>
              <w:t>化学调节胰液分泌假说</w:t>
            </w:r>
          </w:p>
        </w:tc>
      </w:tr>
      <w:tr w14:paraId="0FE03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73FDC1">
            <w:pPr>
              <w:shd w:val="clear" w:color="auto" w:fill="auto"/>
              <w:spacing w:line="360" w:lineRule="auto"/>
              <w:jc w:val="left"/>
              <w:textAlignment w:val="center"/>
              <w:rPr>
                <w:sz w:val="21"/>
              </w:rPr>
            </w:pPr>
            <w:r>
              <w:rPr>
                <w:sz w:val="21"/>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BCF1A0">
            <w:pPr>
              <w:shd w:val="clear" w:color="auto" w:fill="auto"/>
              <w:spacing w:line="360" w:lineRule="auto"/>
              <w:jc w:val="left"/>
              <w:textAlignment w:val="center"/>
              <w:rPr>
                <w:sz w:val="21"/>
              </w:rPr>
            </w:pPr>
            <w:r>
              <w:rPr>
                <w:sz w:val="21"/>
              </w:rPr>
              <w:t>胚芽鞘向光弯曲生长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39CC00">
            <w:pPr>
              <w:shd w:val="clear" w:color="auto" w:fill="auto"/>
              <w:spacing w:line="360" w:lineRule="auto"/>
              <w:jc w:val="left"/>
              <w:textAlignment w:val="center"/>
              <w:rPr>
                <w:sz w:val="21"/>
              </w:rPr>
            </w:pPr>
            <w:r>
              <w:rPr>
                <w:sz w:val="21"/>
              </w:rPr>
              <w:t>光使尖端产生生长素假说</w:t>
            </w:r>
          </w:p>
        </w:tc>
      </w:tr>
    </w:tbl>
    <w:p w14:paraId="4395732E">
      <w:pPr>
        <w:shd w:val="clear" w:color="auto" w:fill="auto"/>
        <w:tabs>
          <w:tab w:val="left" w:pos="2078"/>
          <w:tab w:val="left" w:pos="4156"/>
          <w:tab w:val="left" w:pos="6234"/>
        </w:tabs>
        <w:spacing w:line="360" w:lineRule="auto"/>
        <w:ind w:left="300"/>
        <w:jc w:val="left"/>
        <w:textAlignment w:val="center"/>
        <w:rPr>
          <w:sz w:val="21"/>
        </w:rPr>
      </w:pPr>
      <w:r>
        <w:rPr>
          <w:sz w:val="21"/>
        </w:rPr>
        <w:t>A．A</w:t>
      </w:r>
      <w:r>
        <w:rPr>
          <w:sz w:val="21"/>
        </w:rPr>
        <w:tab/>
      </w:r>
      <w:r>
        <w:rPr>
          <w:sz w:val="21"/>
        </w:rPr>
        <w:t>B．B</w:t>
      </w:r>
      <w:r>
        <w:rPr>
          <w:sz w:val="21"/>
        </w:rPr>
        <w:tab/>
      </w:r>
      <w:r>
        <w:rPr>
          <w:sz w:val="21"/>
        </w:rPr>
        <w:t>C．C</w:t>
      </w:r>
      <w:r>
        <w:rPr>
          <w:sz w:val="21"/>
        </w:rPr>
        <w:tab/>
      </w:r>
      <w:r>
        <w:rPr>
          <w:sz w:val="21"/>
        </w:rPr>
        <w:t>D．D</w:t>
      </w:r>
    </w:p>
    <w:p w14:paraId="36951A60">
      <w:pPr>
        <w:shd w:val="clear" w:color="auto" w:fill="auto"/>
        <w:spacing w:line="360" w:lineRule="auto"/>
        <w:jc w:val="left"/>
        <w:textAlignment w:val="center"/>
        <w:rPr>
          <w:sz w:val="21"/>
        </w:rPr>
      </w:pPr>
      <w:r>
        <w:rPr>
          <w:sz w:val="21"/>
        </w:rPr>
        <w:t>10．作为南方代表性佳果，芒果以其营养丰富、果香浓郁而深受喜爱。研究小组欲“探究乙烯利对芒果的催熟作用”，下列做法错误的是（</w:t>
      </w:r>
      <w:r>
        <w:rPr>
          <w:rFonts w:ascii="Times New Roman" w:hAnsi="Times New Roman" w:eastAsia="Times New Roman" w:cs="Times New Roman"/>
          <w:kern w:val="0"/>
          <w:sz w:val="24"/>
          <w:szCs w:val="24"/>
        </w:rPr>
        <w:t>    </w:t>
      </w:r>
      <w:r>
        <w:rPr>
          <w:sz w:val="21"/>
        </w:rPr>
        <w:t>）</w:t>
      </w:r>
    </w:p>
    <w:p w14:paraId="1A6CCBC9">
      <w:pPr>
        <w:shd w:val="clear" w:color="auto" w:fill="auto"/>
        <w:spacing w:line="360" w:lineRule="auto"/>
        <w:ind w:left="380"/>
        <w:jc w:val="left"/>
        <w:textAlignment w:val="center"/>
        <w:rPr>
          <w:sz w:val="21"/>
        </w:rPr>
      </w:pPr>
      <w:r>
        <w:rPr>
          <w:sz w:val="21"/>
        </w:rPr>
        <w:t>A．需调节乙烯利溶液的pH&lt;3.5</w:t>
      </w:r>
    </w:p>
    <w:p w14:paraId="04449BE9">
      <w:pPr>
        <w:shd w:val="clear" w:color="auto" w:fill="auto"/>
        <w:spacing w:line="360" w:lineRule="auto"/>
        <w:ind w:left="380"/>
        <w:jc w:val="left"/>
        <w:textAlignment w:val="center"/>
        <w:rPr>
          <w:sz w:val="21"/>
        </w:rPr>
      </w:pPr>
      <w:r>
        <w:rPr>
          <w:sz w:val="21"/>
        </w:rPr>
        <w:t>B．在通风良好环境中取用乙烯利</w:t>
      </w:r>
    </w:p>
    <w:p w14:paraId="70E730E7">
      <w:pPr>
        <w:shd w:val="clear" w:color="auto" w:fill="auto"/>
        <w:spacing w:line="360" w:lineRule="auto"/>
        <w:ind w:left="380"/>
        <w:jc w:val="left"/>
        <w:textAlignment w:val="center"/>
        <w:rPr>
          <w:sz w:val="21"/>
        </w:rPr>
      </w:pPr>
      <w:r>
        <w:rPr>
          <w:sz w:val="21"/>
        </w:rPr>
        <w:t>C．设置清水喷洒组为对照实验</w:t>
      </w:r>
    </w:p>
    <w:p w14:paraId="3CD199C8">
      <w:pPr>
        <w:shd w:val="clear" w:color="auto" w:fill="auto"/>
        <w:spacing w:line="360" w:lineRule="auto"/>
        <w:ind w:left="380"/>
        <w:jc w:val="left"/>
        <w:textAlignment w:val="center"/>
        <w:rPr>
          <w:sz w:val="21"/>
        </w:rPr>
      </w:pPr>
      <w:r>
        <w:rPr>
          <w:sz w:val="21"/>
        </w:rPr>
        <w:t>D．以芒果的硬度等为观测指标</w:t>
      </w:r>
    </w:p>
    <w:p w14:paraId="7E4435C2">
      <w:pPr>
        <w:shd w:val="clear" w:color="auto" w:fill="auto"/>
        <w:spacing w:line="360" w:lineRule="auto"/>
        <w:jc w:val="left"/>
        <w:textAlignment w:val="center"/>
        <w:rPr>
          <w:sz w:val="21"/>
        </w:rPr>
      </w:pPr>
      <w:r>
        <w:rPr>
          <w:sz w:val="21"/>
        </w:rPr>
        <w:t>11．某tRNA的基因发生突变后，转录形成的sup-tRNA识别的密码子由UUA（编码亮氨酸）变成UAG（终止密码子），sup-tRNA可用于MPS-I综合征的治疗。突变前tRNA基因的DNA模板链部分序列为（　　）</w:t>
      </w:r>
    </w:p>
    <w:p w14:paraId="7086E6CB">
      <w:pPr>
        <w:shd w:val="clear" w:color="auto" w:fill="auto"/>
        <w:tabs>
          <w:tab w:val="left" w:pos="2078"/>
          <w:tab w:val="left" w:pos="4156"/>
          <w:tab w:val="left" w:pos="6234"/>
        </w:tabs>
        <w:spacing w:line="360" w:lineRule="auto"/>
        <w:ind w:left="380"/>
        <w:jc w:val="left"/>
        <w:textAlignment w:val="center"/>
        <w:rPr>
          <w:sz w:val="21"/>
        </w:rPr>
      </w:pPr>
      <w:r>
        <w:rPr>
          <w:sz w:val="21"/>
        </w:rPr>
        <w:t>A．5'-ATT-3'</w:t>
      </w:r>
      <w:r>
        <w:rPr>
          <w:sz w:val="21"/>
        </w:rPr>
        <w:tab/>
      </w:r>
      <w:r>
        <w:rPr>
          <w:sz w:val="21"/>
        </w:rPr>
        <w:t>B．5'-AAT-3'</w:t>
      </w:r>
      <w:r>
        <w:rPr>
          <w:sz w:val="21"/>
        </w:rPr>
        <w:tab/>
      </w:r>
      <w:r>
        <w:rPr>
          <w:sz w:val="21"/>
        </w:rPr>
        <w:t>C．5'-TTA-3'</w:t>
      </w:r>
      <w:r>
        <w:rPr>
          <w:sz w:val="21"/>
        </w:rPr>
        <w:tab/>
      </w:r>
      <w:r>
        <w:rPr>
          <w:sz w:val="21"/>
        </w:rPr>
        <w:t>D．5'-TAA-3'</w:t>
      </w:r>
    </w:p>
    <w:p w14:paraId="75FF485D">
      <w:pPr>
        <w:shd w:val="clear" w:color="auto" w:fill="auto"/>
        <w:spacing w:line="360" w:lineRule="auto"/>
        <w:jc w:val="left"/>
        <w:textAlignment w:val="center"/>
        <w:rPr>
          <w:sz w:val="21"/>
        </w:rPr>
      </w:pPr>
      <w:r>
        <w:rPr>
          <w:sz w:val="21"/>
        </w:rPr>
        <w:t>12．运动产生的DHA会抑制EZH2（可修饰染色体的组蛋白）的活性，使染色体的空间结构改变，进而促进ATF3基因的表达，驱动黑色素肿瘤细胞的凋亡。下列叙述错误的是（　　）</w:t>
      </w:r>
    </w:p>
    <w:p w14:paraId="2F3FA02E">
      <w:pPr>
        <w:shd w:val="clear" w:color="auto" w:fill="auto"/>
        <w:spacing w:line="360" w:lineRule="auto"/>
        <w:ind w:left="380"/>
        <w:jc w:val="left"/>
        <w:textAlignment w:val="center"/>
        <w:rPr>
          <w:sz w:val="21"/>
        </w:rPr>
      </w:pPr>
      <w:r>
        <w:rPr>
          <w:sz w:val="21"/>
        </w:rPr>
        <w:t>A．EZH2可以抑制染色体的解螺旋</w:t>
      </w:r>
      <w:r>
        <w:rPr>
          <w:rFonts w:hint="eastAsia"/>
          <w:sz w:val="21"/>
          <w:lang w:val="en-US" w:eastAsia="zh-CN"/>
        </w:rPr>
        <w:t xml:space="preserve">    </w:t>
      </w:r>
      <w:r>
        <w:rPr>
          <w:sz w:val="21"/>
        </w:rPr>
        <w:t>B．染色体组蛋白修饰的场所是核糖体</w:t>
      </w:r>
    </w:p>
    <w:p w14:paraId="5F2C047F">
      <w:pPr>
        <w:shd w:val="clear" w:color="auto" w:fill="auto"/>
        <w:spacing w:line="360" w:lineRule="auto"/>
        <w:ind w:left="380"/>
        <w:jc w:val="left"/>
        <w:textAlignment w:val="center"/>
        <w:rPr>
          <w:sz w:val="21"/>
        </w:rPr>
      </w:pPr>
      <w:r>
        <w:rPr>
          <w:sz w:val="21"/>
        </w:rPr>
        <w:t>C．ATF3基因可能调控癌细胞的增殖</w:t>
      </w:r>
      <w:r>
        <w:rPr>
          <w:rFonts w:hint="eastAsia"/>
          <w:sz w:val="21"/>
          <w:lang w:val="en-US" w:eastAsia="zh-CN"/>
        </w:rPr>
        <w:t xml:space="preserve">  </w:t>
      </w:r>
      <w:r>
        <w:rPr>
          <w:sz w:val="21"/>
        </w:rPr>
        <w:t>D．ATF3基因突变可能引起细胞癌变</w:t>
      </w:r>
    </w:p>
    <w:p w14:paraId="28F180E4">
      <w:pPr>
        <w:shd w:val="clear" w:color="auto" w:fill="auto"/>
        <w:spacing w:line="360" w:lineRule="auto"/>
        <w:jc w:val="left"/>
        <w:textAlignment w:val="center"/>
        <w:rPr>
          <w:sz w:val="21"/>
        </w:rPr>
      </w:pPr>
      <w:r>
        <w:rPr>
          <w:sz w:val="21"/>
        </w:rPr>
        <w:t>13．长期高糖高脂环境会损伤胰岛B细胞（β细胞），降低其对葡萄糖的敏感度。这种损伤在恢复正常饮食后仍会持续进展一段时间。研究人员构建模型鼠，以服用定量葡萄糖后的胰岛素水平变化为观测指标，探究巴瑞替尼（口服药物）对β细胞的修复效果，结果见图1.下列推测错误的是（　　）</w:t>
      </w:r>
    </w:p>
    <w:p w14:paraId="39E8FDF1">
      <w:pPr>
        <w:shd w:val="clear" w:color="auto" w:fill="auto"/>
        <w:spacing w:line="360" w:lineRule="auto"/>
        <w:ind w:left="380"/>
        <w:jc w:val="left"/>
        <w:textAlignment w:val="center"/>
        <w:rPr>
          <w:sz w:val="21"/>
        </w:rPr>
      </w:pPr>
      <w:r>
        <w:rPr>
          <w:sz w:val="21"/>
        </w:rPr>
        <w:t>A．应持续给予高糖高脂饮食以获得模型鼠</w:t>
      </w:r>
    </w:p>
    <w:p w14:paraId="5E1631C4">
      <w:pPr>
        <w:shd w:val="clear" w:color="auto" w:fill="auto"/>
        <w:spacing w:line="360" w:lineRule="auto"/>
        <w:ind w:left="380"/>
        <w:jc w:val="left"/>
        <w:textAlignment w:val="center"/>
        <w:rPr>
          <w:sz w:val="21"/>
        </w:rPr>
      </w:pPr>
      <w:r>
        <w:rPr>
          <w:rFonts w:ascii="Times New Roman" w:hAnsi="Times New Roman" w:eastAsia="Times New Roman" w:cs="Times New Roman"/>
          <w:strike w:val="0"/>
          <w:kern w:val="0"/>
          <w:sz w:val="24"/>
          <w:szCs w:val="24"/>
          <w:u w:val="none"/>
        </w:rPr>
        <w:drawing>
          <wp:anchor distT="0" distB="0" distL="114300" distR="114300" simplePos="0" relativeHeight="251659264" behindDoc="0" locked="0" layoutInCell="1" allowOverlap="1">
            <wp:simplePos x="0" y="0"/>
            <wp:positionH relativeFrom="column">
              <wp:posOffset>2931160</wp:posOffset>
            </wp:positionH>
            <wp:positionV relativeFrom="paragraph">
              <wp:posOffset>-587375</wp:posOffset>
            </wp:positionV>
            <wp:extent cx="3048000" cy="1733550"/>
            <wp:effectExtent l="0" t="0" r="0" b="0"/>
            <wp:wrapNone/>
            <wp:docPr id="100003" name="图片 100003" descr="@@@9086791e-63dd-4832-86d6-5a41c16562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9086791e-63dd-4832-86d6-5a41c16562f9"/>
                    <pic:cNvPicPr>
                      <a:picLocks noChangeAspect="1"/>
                    </pic:cNvPicPr>
                  </pic:nvPicPr>
                  <pic:blipFill>
                    <a:blip r:embed="rId10"/>
                    <a:stretch>
                      <a:fillRect/>
                    </a:stretch>
                  </pic:blipFill>
                  <pic:spPr>
                    <a:xfrm>
                      <a:off x="0" y="0"/>
                      <a:ext cx="3048000" cy="1733550"/>
                    </a:xfrm>
                    <a:prstGeom prst="rect">
                      <a:avLst/>
                    </a:prstGeom>
                  </pic:spPr>
                </pic:pic>
              </a:graphicData>
            </a:graphic>
          </wp:anchor>
        </w:drawing>
      </w:r>
      <w:r>
        <w:rPr>
          <w:sz w:val="21"/>
        </w:rPr>
        <w:t>B．对照组处理是模型鼠灌胃等量生理盐水</w:t>
      </w:r>
    </w:p>
    <w:p w14:paraId="33E9DE56">
      <w:pPr>
        <w:shd w:val="clear" w:color="auto" w:fill="auto"/>
        <w:spacing w:line="360" w:lineRule="auto"/>
        <w:ind w:left="380"/>
        <w:jc w:val="left"/>
        <w:textAlignment w:val="center"/>
        <w:rPr>
          <w:sz w:val="21"/>
        </w:rPr>
      </w:pPr>
      <w:r>
        <w:rPr>
          <w:sz w:val="21"/>
        </w:rPr>
        <w:t>C．①②对照说明巴瑞替尼有一定修复作用</w:t>
      </w:r>
    </w:p>
    <w:p w14:paraId="43E1CB3A">
      <w:pPr>
        <w:shd w:val="clear" w:color="auto" w:fill="auto"/>
        <w:spacing w:line="360" w:lineRule="auto"/>
        <w:ind w:left="380"/>
        <w:jc w:val="left"/>
        <w:textAlignment w:val="center"/>
        <w:rPr>
          <w:sz w:val="21"/>
        </w:rPr>
      </w:pPr>
      <w:r>
        <w:rPr>
          <w:sz w:val="21"/>
        </w:rPr>
        <w:t>D．4周后对照组因病程进展β细胞损伤加重</w:t>
      </w:r>
    </w:p>
    <w:p w14:paraId="45327EAB">
      <w:pPr>
        <w:shd w:val="clear" w:color="auto" w:fill="auto"/>
        <w:spacing w:line="360" w:lineRule="auto"/>
        <w:jc w:val="left"/>
        <w:textAlignment w:val="center"/>
        <w:rPr>
          <w:sz w:val="21"/>
        </w:rPr>
      </w:pPr>
      <w:r>
        <w:rPr>
          <w:sz w:val="21"/>
        </w:rPr>
        <w:t>14．为了解某水库鱼类群落结构特征和种间关系，研究人员对多种鱼类展开资源调查，得到了主要鱼类的时间和空间生态位重叠指数（下表）。下列叙述不合理的是（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870"/>
        <w:gridCol w:w="713"/>
        <w:gridCol w:w="870"/>
        <w:gridCol w:w="1080"/>
      </w:tblGrid>
      <w:tr w14:paraId="5F9A7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68F56A">
            <w:pPr>
              <w:shd w:val="clear" w:color="auto" w:fill="auto"/>
              <w:spacing w:line="360" w:lineRule="auto"/>
              <w:jc w:val="left"/>
              <w:textAlignment w:val="center"/>
              <w:rPr>
                <w:sz w:val="21"/>
              </w:rPr>
            </w:pPr>
            <w:r>
              <w:rPr>
                <w:sz w:val="21"/>
              </w:rPr>
              <w:t>物种</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4EA2EE">
            <w:pPr>
              <w:shd w:val="clear" w:color="auto" w:fill="auto"/>
              <w:spacing w:line="360" w:lineRule="auto"/>
              <w:jc w:val="left"/>
              <w:textAlignment w:val="center"/>
              <w:rPr>
                <w:sz w:val="21"/>
              </w:rPr>
            </w:pPr>
            <w:r>
              <w:rPr>
                <w:sz w:val="21"/>
              </w:rPr>
              <w:t>棒花鱼</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CD9890">
            <w:pPr>
              <w:shd w:val="clear" w:color="auto" w:fill="auto"/>
              <w:spacing w:line="360" w:lineRule="auto"/>
              <w:jc w:val="left"/>
              <w:textAlignment w:val="center"/>
              <w:rPr>
                <w:sz w:val="21"/>
              </w:rPr>
            </w:pPr>
            <w:r>
              <w:rPr>
                <w:sz w:val="21"/>
              </w:rPr>
              <w:t>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346620">
            <w:pPr>
              <w:shd w:val="clear" w:color="auto" w:fill="auto"/>
              <w:spacing w:line="360" w:lineRule="auto"/>
              <w:jc w:val="left"/>
              <w:textAlignment w:val="center"/>
              <w:rPr>
                <w:sz w:val="21"/>
              </w:rPr>
            </w:pPr>
            <w:r>
              <w:rPr>
                <w:sz w:val="21"/>
              </w:rPr>
              <w:t>麦穗鱼</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15F610">
            <w:pPr>
              <w:shd w:val="clear" w:color="auto" w:fill="auto"/>
              <w:spacing w:line="360" w:lineRule="auto"/>
              <w:jc w:val="left"/>
              <w:textAlignment w:val="center"/>
              <w:rPr>
                <w:sz w:val="21"/>
              </w:rPr>
            </w:pPr>
            <w:r>
              <w:rPr>
                <w:sz w:val="21"/>
              </w:rPr>
              <w:t>高体鳑鲏</w:t>
            </w:r>
          </w:p>
        </w:tc>
      </w:tr>
      <w:tr w14:paraId="42204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3691DA">
            <w:pPr>
              <w:shd w:val="clear" w:color="auto" w:fill="auto"/>
              <w:spacing w:line="360" w:lineRule="auto"/>
              <w:jc w:val="left"/>
              <w:textAlignment w:val="center"/>
              <w:rPr>
                <w:sz w:val="21"/>
              </w:rPr>
            </w:pPr>
            <w:r>
              <w:rPr>
                <w:sz w:val="21"/>
              </w:rPr>
              <w:t>棒花鱼</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D6BEAF">
            <w:pPr>
              <w:shd w:val="clear" w:color="auto" w:fill="auto"/>
              <w:spacing w:line="360" w:lineRule="auto"/>
              <w:jc w:val="left"/>
              <w:textAlignment w:val="center"/>
              <w:rPr>
                <w:sz w:val="21"/>
              </w:rPr>
            </w:pPr>
            <w:r>
              <w:rPr>
                <w:sz w:val="21"/>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8051B1">
            <w:pPr>
              <w:shd w:val="clear" w:color="auto" w:fill="auto"/>
              <w:spacing w:line="360" w:lineRule="auto"/>
              <w:jc w:val="left"/>
              <w:textAlignment w:val="center"/>
              <w:rPr>
                <w:sz w:val="21"/>
              </w:rPr>
            </w:pPr>
            <w:r>
              <w:rPr>
                <w:sz w:val="21"/>
              </w:rPr>
              <w:t>0.916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67640C">
            <w:pPr>
              <w:shd w:val="clear" w:color="auto" w:fill="auto"/>
              <w:spacing w:line="360" w:lineRule="auto"/>
              <w:jc w:val="left"/>
              <w:textAlignment w:val="center"/>
              <w:rPr>
                <w:sz w:val="21"/>
              </w:rPr>
            </w:pPr>
            <w:r>
              <w:rPr>
                <w:sz w:val="21"/>
              </w:rPr>
              <w:t>0.999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B1C210">
            <w:pPr>
              <w:shd w:val="clear" w:color="auto" w:fill="auto"/>
              <w:spacing w:line="360" w:lineRule="auto"/>
              <w:jc w:val="left"/>
              <w:textAlignment w:val="center"/>
              <w:rPr>
                <w:sz w:val="21"/>
              </w:rPr>
            </w:pPr>
            <w:r>
              <w:rPr>
                <w:sz w:val="21"/>
              </w:rPr>
              <w:t>0.332</w:t>
            </w:r>
          </w:p>
        </w:tc>
      </w:tr>
      <w:tr w14:paraId="66072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E775B4">
            <w:pPr>
              <w:shd w:val="clear" w:color="auto" w:fill="auto"/>
              <w:spacing w:line="360" w:lineRule="auto"/>
              <w:jc w:val="left"/>
              <w:textAlignment w:val="center"/>
              <w:rPr>
                <w:sz w:val="21"/>
              </w:rPr>
            </w:pPr>
            <w:r>
              <w:rPr>
                <w:sz w:val="21"/>
              </w:rPr>
              <w:t>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54BB4E">
            <w:pPr>
              <w:shd w:val="clear" w:color="auto" w:fill="auto"/>
              <w:spacing w:line="360" w:lineRule="auto"/>
              <w:jc w:val="left"/>
              <w:textAlignment w:val="center"/>
              <w:rPr>
                <w:sz w:val="21"/>
              </w:rPr>
            </w:pPr>
            <w:r>
              <w:rPr>
                <w:sz w:val="21"/>
              </w:rPr>
              <w:t>0.818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0DD68A">
            <w:pPr>
              <w:shd w:val="clear" w:color="auto" w:fill="auto"/>
              <w:spacing w:line="360" w:lineRule="auto"/>
              <w:jc w:val="left"/>
              <w:textAlignment w:val="center"/>
              <w:rPr>
                <w:sz w:val="21"/>
              </w:rPr>
            </w:pPr>
            <w:r>
              <w:rPr>
                <w:sz w:val="21"/>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045CBB">
            <w:pPr>
              <w:shd w:val="clear" w:color="auto" w:fill="auto"/>
              <w:spacing w:line="360" w:lineRule="auto"/>
              <w:jc w:val="left"/>
              <w:textAlignment w:val="center"/>
              <w:rPr>
                <w:sz w:val="21"/>
              </w:rPr>
            </w:pPr>
            <w:r>
              <w:rPr>
                <w:sz w:val="21"/>
              </w:rPr>
              <w:t>0.932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37E508">
            <w:pPr>
              <w:shd w:val="clear" w:color="auto" w:fill="auto"/>
              <w:spacing w:line="360" w:lineRule="auto"/>
              <w:jc w:val="left"/>
              <w:textAlignment w:val="center"/>
              <w:rPr>
                <w:sz w:val="21"/>
              </w:rPr>
            </w:pPr>
            <w:r>
              <w:rPr>
                <w:sz w:val="21"/>
              </w:rPr>
              <w:t>0.683</w:t>
            </w:r>
          </w:p>
        </w:tc>
      </w:tr>
      <w:tr w14:paraId="5233D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664F8B">
            <w:pPr>
              <w:shd w:val="clear" w:color="auto" w:fill="auto"/>
              <w:spacing w:line="360" w:lineRule="auto"/>
              <w:jc w:val="left"/>
              <w:textAlignment w:val="center"/>
              <w:rPr>
                <w:sz w:val="21"/>
              </w:rPr>
            </w:pPr>
            <w:r>
              <w:rPr>
                <w:sz w:val="21"/>
              </w:rPr>
              <w:t>麦穗鱼</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8C9EA6">
            <w:pPr>
              <w:shd w:val="clear" w:color="auto" w:fill="auto"/>
              <w:spacing w:line="360" w:lineRule="auto"/>
              <w:jc w:val="left"/>
              <w:textAlignment w:val="center"/>
              <w:rPr>
                <w:sz w:val="21"/>
              </w:rPr>
            </w:pPr>
            <w:r>
              <w:rPr>
                <w:sz w:val="21"/>
              </w:rPr>
              <w:t>0.867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29B81B">
            <w:pPr>
              <w:shd w:val="clear" w:color="auto" w:fill="auto"/>
              <w:spacing w:line="360" w:lineRule="auto"/>
              <w:jc w:val="left"/>
              <w:textAlignment w:val="center"/>
              <w:rPr>
                <w:sz w:val="21"/>
              </w:rPr>
            </w:pPr>
            <w:r>
              <w:rPr>
                <w:sz w:val="21"/>
              </w:rPr>
              <w:t>0.989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141018">
            <w:pPr>
              <w:shd w:val="clear" w:color="auto" w:fill="auto"/>
              <w:spacing w:line="360" w:lineRule="auto"/>
              <w:jc w:val="left"/>
              <w:textAlignment w:val="center"/>
              <w:rPr>
                <w:sz w:val="21"/>
              </w:rPr>
            </w:pPr>
            <w:r>
              <w:rPr>
                <w:sz w:val="21"/>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B53472">
            <w:pPr>
              <w:shd w:val="clear" w:color="auto" w:fill="auto"/>
              <w:spacing w:line="360" w:lineRule="auto"/>
              <w:jc w:val="left"/>
              <w:textAlignment w:val="center"/>
              <w:rPr>
                <w:sz w:val="21"/>
              </w:rPr>
            </w:pPr>
            <w:r>
              <w:rPr>
                <w:sz w:val="21"/>
              </w:rPr>
              <w:t>0.377</w:t>
            </w:r>
          </w:p>
        </w:tc>
      </w:tr>
      <w:tr w14:paraId="23F08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BBFAE6">
            <w:pPr>
              <w:shd w:val="clear" w:color="auto" w:fill="auto"/>
              <w:spacing w:line="360" w:lineRule="auto"/>
              <w:jc w:val="left"/>
              <w:textAlignment w:val="center"/>
              <w:rPr>
                <w:sz w:val="21"/>
              </w:rPr>
            </w:pPr>
            <w:r>
              <w:rPr>
                <w:sz w:val="21"/>
              </w:rPr>
              <w:t>高体鳑鲏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2959B2">
            <w:pPr>
              <w:shd w:val="clear" w:color="auto" w:fill="auto"/>
              <w:spacing w:line="360" w:lineRule="auto"/>
              <w:jc w:val="left"/>
              <w:textAlignment w:val="center"/>
              <w:rPr>
                <w:sz w:val="21"/>
              </w:rPr>
            </w:pPr>
            <w:r>
              <w:rPr>
                <w:sz w:val="21"/>
              </w:rPr>
              <w:t>0.341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E0329C">
            <w:pPr>
              <w:shd w:val="clear" w:color="auto" w:fill="auto"/>
              <w:spacing w:line="360" w:lineRule="auto"/>
              <w:jc w:val="left"/>
              <w:textAlignment w:val="center"/>
              <w:rPr>
                <w:sz w:val="21"/>
              </w:rPr>
            </w:pPr>
            <w:r>
              <w:rPr>
                <w:sz w:val="21"/>
              </w:rPr>
              <w:t>0.402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13AC42">
            <w:pPr>
              <w:shd w:val="clear" w:color="auto" w:fill="auto"/>
              <w:spacing w:line="360" w:lineRule="auto"/>
              <w:jc w:val="left"/>
              <w:textAlignment w:val="center"/>
              <w:rPr>
                <w:sz w:val="21"/>
              </w:rPr>
            </w:pPr>
            <w:r>
              <w:rPr>
                <w:sz w:val="21"/>
              </w:rPr>
              <w:t>0.352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29534B">
            <w:pPr>
              <w:shd w:val="clear" w:color="auto" w:fill="auto"/>
              <w:spacing w:line="360" w:lineRule="auto"/>
              <w:jc w:val="left"/>
              <w:textAlignment w:val="center"/>
              <w:rPr>
                <w:sz w:val="21"/>
              </w:rPr>
            </w:pPr>
            <w:r>
              <w:rPr>
                <w:sz w:val="21"/>
              </w:rPr>
              <w:t>1</w:t>
            </w:r>
          </w:p>
        </w:tc>
      </w:tr>
    </w:tbl>
    <w:p w14:paraId="397CB9C0">
      <w:pPr>
        <w:shd w:val="clear" w:color="auto" w:fill="auto"/>
        <w:spacing w:line="360" w:lineRule="auto"/>
        <w:jc w:val="left"/>
        <w:textAlignment w:val="center"/>
        <w:rPr>
          <w:sz w:val="21"/>
        </w:rPr>
      </w:pPr>
      <w:r>
        <w:rPr>
          <w:sz w:val="21"/>
        </w:rPr>
        <w:t>注：重叠指数大小与鱼类种间生态位重叠程度成正相关关系，表中以1为对角线，对角线以下为各主要鱼类的空间生态位重叠指数，对角线以上为时间生态位重叠指数。</w:t>
      </w:r>
    </w:p>
    <w:p w14:paraId="16DC083F">
      <w:pPr>
        <w:shd w:val="clear" w:color="auto" w:fill="auto"/>
        <w:spacing w:line="360" w:lineRule="auto"/>
        <w:ind w:left="380"/>
        <w:jc w:val="left"/>
        <w:textAlignment w:val="center"/>
        <w:rPr>
          <w:sz w:val="21"/>
        </w:rPr>
      </w:pPr>
      <w:r>
        <w:rPr>
          <w:sz w:val="21"/>
        </w:rPr>
        <w:t>A．不同鱼类占据稳定时空生态位是协同进化的结果</w:t>
      </w:r>
    </w:p>
    <w:p w14:paraId="2DF809A5">
      <w:pPr>
        <w:shd w:val="clear" w:color="auto" w:fill="auto"/>
        <w:spacing w:line="360" w:lineRule="auto"/>
        <w:ind w:left="380"/>
        <w:jc w:val="left"/>
        <w:textAlignment w:val="center"/>
        <w:rPr>
          <w:sz w:val="21"/>
        </w:rPr>
      </w:pPr>
      <w:r>
        <w:rPr>
          <w:sz w:val="21"/>
        </w:rPr>
        <w:t>B．高体鳑鲏的空间分布不利于提高水库物种丰富度</w:t>
      </w:r>
    </w:p>
    <w:p w14:paraId="5EC45F17">
      <w:pPr>
        <w:shd w:val="clear" w:color="auto" w:fill="auto"/>
        <w:spacing w:line="360" w:lineRule="auto"/>
        <w:ind w:left="380"/>
        <w:jc w:val="left"/>
        <w:textAlignment w:val="center"/>
        <w:rPr>
          <w:sz w:val="21"/>
        </w:rPr>
      </w:pPr>
      <w:r>
        <w:rPr>
          <w:sz w:val="21"/>
        </w:rPr>
        <w:t>C．若引入鲫的天敌一段时间后麦穗鱼的数量将增加</w:t>
      </w:r>
    </w:p>
    <w:p w14:paraId="0E57EDC1">
      <w:pPr>
        <w:shd w:val="clear" w:color="auto" w:fill="auto"/>
        <w:spacing w:line="360" w:lineRule="auto"/>
        <w:ind w:left="380"/>
        <w:jc w:val="left"/>
        <w:textAlignment w:val="center"/>
        <w:rPr>
          <w:sz w:val="21"/>
        </w:rPr>
      </w:pPr>
      <w:r>
        <w:rPr>
          <w:sz w:val="21"/>
        </w:rPr>
        <w:t>D．棒花鱼和麦穗鱼可以通过错开生境降低种间竞争</w:t>
      </w:r>
    </w:p>
    <w:p w14:paraId="333BC83F">
      <w:pPr>
        <w:shd w:val="clear" w:color="auto" w:fill="auto"/>
        <w:spacing w:line="360" w:lineRule="auto"/>
        <w:jc w:val="left"/>
        <w:textAlignment w:val="center"/>
        <w:rPr>
          <w:sz w:val="21"/>
        </w:rPr>
      </w:pPr>
      <w:r>
        <w:rPr>
          <w:sz w:val="21"/>
        </w:rPr>
        <w:t>15．科技社同学为证明细菌耐药性突变是产生在接触抗生素之前而非抗生素诱导产生的，设计如图的实验技术路线并得到下表结果。下列叙述正确的是（　　）</w:t>
      </w:r>
    </w:p>
    <w:p w14:paraId="0675B72B">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165225"/>
            <wp:effectExtent l="0" t="0" r="635" b="15875"/>
            <wp:docPr id="100005" name="图片 100005" descr="@@@46038243-4547-4f41-b502-5901a32d76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46038243-4547-4f41-b502-5901a32d769a"/>
                    <pic:cNvPicPr>
                      <a:picLocks noChangeAspect="1"/>
                    </pic:cNvPicPr>
                  </pic:nvPicPr>
                  <pic:blipFill>
                    <a:blip r:embed="rId11"/>
                    <a:stretch>
                      <a:fillRect/>
                    </a:stretch>
                  </pic:blipFill>
                  <pic:spPr>
                    <a:xfrm>
                      <a:off x="0" y="0"/>
                      <a:ext cx="5276800" cy="1165805"/>
                    </a:xfrm>
                    <a:prstGeom prst="rect">
                      <a:avLst/>
                    </a:prstGeom>
                  </pic:spPr>
                </pic:pic>
              </a:graphicData>
            </a:graphic>
          </wp:inline>
        </w:drawing>
      </w:r>
    </w:p>
    <w:tbl>
      <w:tblPr>
        <w:tblStyle w:val="4"/>
        <w:tblW w:w="67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55"/>
        <w:gridCol w:w="2255"/>
        <w:gridCol w:w="2255"/>
      </w:tblGrid>
      <w:tr w14:paraId="6417C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443B33">
            <w:pPr>
              <w:shd w:val="clear" w:color="auto" w:fill="auto"/>
              <w:spacing w:line="360" w:lineRule="auto"/>
              <w:jc w:val="left"/>
              <w:textAlignment w:val="center"/>
              <w:rPr>
                <w:sz w:val="21"/>
              </w:rPr>
            </w:pPr>
            <w:r>
              <w:rPr>
                <w:sz w:val="21"/>
              </w:rPr>
              <w:t>　</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FAA39C">
            <w:pPr>
              <w:shd w:val="clear" w:color="auto" w:fill="auto"/>
              <w:spacing w:line="360" w:lineRule="auto"/>
              <w:jc w:val="left"/>
              <w:textAlignment w:val="center"/>
              <w:rPr>
                <w:sz w:val="21"/>
              </w:rPr>
            </w:pPr>
            <w:r>
              <w:rPr>
                <w:sz w:val="21"/>
              </w:rPr>
              <w:t>大试管结果（I）</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796047">
            <w:pPr>
              <w:shd w:val="clear" w:color="auto" w:fill="auto"/>
              <w:spacing w:line="360" w:lineRule="auto"/>
              <w:jc w:val="left"/>
              <w:textAlignment w:val="center"/>
              <w:rPr>
                <w:sz w:val="21"/>
              </w:rPr>
            </w:pPr>
            <w:r>
              <w:rPr>
                <w:sz w:val="21"/>
              </w:rPr>
              <w:t>小试管结果（II）</w:t>
            </w:r>
          </w:p>
        </w:tc>
      </w:tr>
      <w:tr w14:paraId="3DD83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1A3216">
            <w:pPr>
              <w:shd w:val="clear" w:color="auto" w:fill="auto"/>
              <w:spacing w:line="360" w:lineRule="auto"/>
              <w:jc w:val="left"/>
              <w:textAlignment w:val="center"/>
              <w:rPr>
                <w:sz w:val="21"/>
              </w:rPr>
            </w:pPr>
            <w:r>
              <w:rPr>
                <w:sz w:val="21"/>
              </w:rPr>
              <w:t>抑菌圈直径方差</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B516E6">
            <w:pPr>
              <w:shd w:val="clear" w:color="auto" w:fill="auto"/>
              <w:spacing w:line="360" w:lineRule="auto"/>
              <w:jc w:val="left"/>
              <w:textAlignment w:val="center"/>
              <w:rPr>
                <w:sz w:val="21"/>
              </w:rPr>
            </w:pPr>
            <w:r>
              <w:rPr>
                <w:sz w:val="21"/>
              </w:rPr>
              <w:t>c</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5BACE8">
            <w:pPr>
              <w:shd w:val="clear" w:color="auto" w:fill="auto"/>
              <w:spacing w:line="360" w:lineRule="auto"/>
              <w:jc w:val="left"/>
              <w:textAlignment w:val="center"/>
              <w:rPr>
                <w:sz w:val="21"/>
              </w:rPr>
            </w:pPr>
            <w:r>
              <w:rPr>
                <w:sz w:val="21"/>
              </w:rPr>
              <w:t>d</w:t>
            </w:r>
          </w:p>
        </w:tc>
      </w:tr>
    </w:tbl>
    <w:p w14:paraId="59B01A64">
      <w:pPr>
        <w:shd w:val="clear" w:color="auto" w:fill="auto"/>
        <w:spacing w:line="360" w:lineRule="auto"/>
        <w:jc w:val="left"/>
        <w:textAlignment w:val="center"/>
        <w:rPr>
          <w:sz w:val="21"/>
        </w:rPr>
      </w:pPr>
      <w:r>
        <w:rPr>
          <w:sz w:val="21"/>
        </w:rPr>
        <w:t>注：方差可反映数据的波动程度。方差越大，数据波动越大。</w:t>
      </w:r>
    </w:p>
    <w:p w14:paraId="48AB1885">
      <w:pPr>
        <w:shd w:val="clear" w:color="auto" w:fill="auto"/>
        <w:spacing w:line="360" w:lineRule="auto"/>
        <w:ind w:left="380"/>
        <w:jc w:val="left"/>
        <w:textAlignment w:val="center"/>
        <w:rPr>
          <w:sz w:val="21"/>
        </w:rPr>
      </w:pPr>
      <w:r>
        <w:rPr>
          <w:sz w:val="21"/>
        </w:rPr>
        <w:t>A．本实验可以采用平板划线法将细菌接种到培养基上</w:t>
      </w:r>
    </w:p>
    <w:p w14:paraId="64D128DF">
      <w:pPr>
        <w:shd w:val="clear" w:color="auto" w:fill="auto"/>
        <w:spacing w:line="360" w:lineRule="auto"/>
        <w:ind w:left="380"/>
        <w:jc w:val="left"/>
        <w:textAlignment w:val="center"/>
        <w:rPr>
          <w:sz w:val="21"/>
        </w:rPr>
      </w:pPr>
      <w:r>
        <w:rPr>
          <w:sz w:val="21"/>
        </w:rPr>
        <w:t>B．a中细菌较早产生耐药性变异造成抑菌圈的直径a&gt;b</w:t>
      </w:r>
    </w:p>
    <w:p w14:paraId="3FFD3FD7">
      <w:pPr>
        <w:shd w:val="clear" w:color="auto" w:fill="auto"/>
        <w:spacing w:line="360" w:lineRule="auto"/>
        <w:ind w:left="380"/>
        <w:jc w:val="left"/>
        <w:textAlignment w:val="center"/>
        <w:rPr>
          <w:sz w:val="21"/>
        </w:rPr>
      </w:pPr>
      <w:r>
        <w:rPr>
          <w:sz w:val="21"/>
        </w:rPr>
        <w:t>C．耐药性突变同步发生造成I中的抑菌圈直径几乎相同</w:t>
      </w:r>
    </w:p>
    <w:p w14:paraId="15852C65">
      <w:pPr>
        <w:shd w:val="clear" w:color="auto" w:fill="auto"/>
        <w:spacing w:line="360" w:lineRule="auto"/>
        <w:ind w:left="380"/>
        <w:jc w:val="left"/>
        <w:textAlignment w:val="center"/>
        <w:rPr>
          <w:sz w:val="21"/>
        </w:rPr>
      </w:pPr>
      <w:r>
        <w:rPr>
          <w:sz w:val="21"/>
        </w:rPr>
        <w:t>D．c&lt;d可说明细菌耐药性突变是在接触抗生素前产生的</w:t>
      </w:r>
    </w:p>
    <w:p w14:paraId="2F9EE142">
      <w:pPr>
        <w:shd w:val="clear" w:color="auto" w:fill="auto"/>
        <w:spacing w:line="360" w:lineRule="auto"/>
        <w:jc w:val="left"/>
        <w:textAlignment w:val="center"/>
        <w:rPr>
          <w:sz w:val="21"/>
        </w:rPr>
      </w:pPr>
      <w:r>
        <w:rPr>
          <w:sz w:val="21"/>
        </w:rPr>
        <w:t>16．DMD基因结构改变会造成表达的D蛋白异常从而导致假肥大肌营养不良（DMD）。一对表型正常的夫妇，生育了一个正常的女儿和一个患DMD的儿子。为研究DMD基因结构改变的原因，研究人员通过PCR技术对该家庭成员进行了相应的基因检测，所用的引物和扩增产物的电泳结果如图。假设DMD在男性中发病率为p，下列分析错误的是（　　）</w:t>
      </w:r>
    </w:p>
    <w:p w14:paraId="4D80DAD8">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619625" cy="1552575"/>
            <wp:effectExtent l="0" t="0" r="9525" b="9525"/>
            <wp:docPr id="100007" name="图片 100007" descr="@@@13248f02-095e-4e84-9ef9-add2eff5af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13248f02-095e-4e84-9ef9-add2eff5af61"/>
                    <pic:cNvPicPr>
                      <a:picLocks noChangeAspect="1"/>
                    </pic:cNvPicPr>
                  </pic:nvPicPr>
                  <pic:blipFill>
                    <a:blip r:embed="rId12"/>
                    <a:stretch>
                      <a:fillRect/>
                    </a:stretch>
                  </pic:blipFill>
                  <pic:spPr>
                    <a:xfrm>
                      <a:off x="0" y="0"/>
                      <a:ext cx="4619625" cy="1552575"/>
                    </a:xfrm>
                    <a:prstGeom prst="rect">
                      <a:avLst/>
                    </a:prstGeom>
                  </pic:spPr>
                </pic:pic>
              </a:graphicData>
            </a:graphic>
          </wp:inline>
        </w:drawing>
      </w:r>
    </w:p>
    <w:p w14:paraId="66B3617C">
      <w:pPr>
        <w:shd w:val="clear" w:color="auto" w:fill="auto"/>
        <w:spacing w:line="360" w:lineRule="auto"/>
        <w:ind w:left="380"/>
        <w:jc w:val="left"/>
        <w:textAlignment w:val="center"/>
        <w:rPr>
          <w:sz w:val="21"/>
        </w:rPr>
      </w:pPr>
      <w:r>
        <w:rPr>
          <w:sz w:val="21"/>
        </w:rPr>
        <w:t>A．推测DMD基因和HS6S12基因位于X染色体上</w:t>
      </w:r>
    </w:p>
    <w:p w14:paraId="62B0CD9A">
      <w:pPr>
        <w:shd w:val="clear" w:color="auto" w:fill="auto"/>
        <w:spacing w:line="360" w:lineRule="auto"/>
        <w:ind w:left="380"/>
        <w:jc w:val="left"/>
        <w:textAlignment w:val="center"/>
        <w:rPr>
          <w:sz w:val="21"/>
        </w:rPr>
      </w:pPr>
      <w:r>
        <w:rPr>
          <w:sz w:val="21"/>
        </w:rPr>
        <w:t>B．DMD形成过程中可能发生了染色体的结构变异</w:t>
      </w:r>
    </w:p>
    <w:p w14:paraId="0577CF05">
      <w:pPr>
        <w:shd w:val="clear" w:color="auto" w:fill="auto"/>
        <w:spacing w:line="360" w:lineRule="auto"/>
        <w:ind w:left="380"/>
        <w:jc w:val="left"/>
        <w:textAlignment w:val="center"/>
        <w:rPr>
          <w:sz w:val="21"/>
        </w:rPr>
      </w:pPr>
      <w:r>
        <w:rPr>
          <w:sz w:val="21"/>
        </w:rPr>
        <w:t>C．女儿是否携带DMD致病基因可用引物组合④PCR检出</w:t>
      </w:r>
    </w:p>
    <w:p w14:paraId="668A3300">
      <w:pPr>
        <w:shd w:val="clear" w:color="auto" w:fill="auto"/>
        <w:spacing w:line="360" w:lineRule="auto"/>
        <w:ind w:left="380"/>
        <w:jc w:val="left"/>
        <w:textAlignment w:val="center"/>
        <w:rPr>
          <w:rFonts w:ascii="黑体" w:hAnsi="黑体" w:eastAsia="黑体" w:cs="黑体"/>
          <w:b/>
          <w:i w:val="0"/>
          <w:color w:val="000000"/>
          <w:sz w:val="30"/>
        </w:rPr>
      </w:pPr>
      <w:r>
        <w:rPr>
          <w:sz w:val="21"/>
        </w:rPr>
        <w:t>D．女儿婚后生育一个患有DMD疾病子代的概率是（p+1）/4</w:t>
      </w:r>
    </w:p>
    <w:p w14:paraId="61A77D5F">
      <w:pPr>
        <w:jc w:val="left"/>
        <w:textAlignment w:val="center"/>
        <w:rPr>
          <w:rFonts w:ascii="宋体" w:hAnsi="宋体" w:eastAsia="宋体" w:cs="宋体"/>
          <w:b/>
          <w:i w:val="0"/>
          <w:color w:val="000000"/>
          <w:sz w:val="21"/>
        </w:rPr>
      </w:pPr>
      <w:r>
        <w:rPr>
          <w:rFonts w:ascii="宋体" w:hAnsi="宋体" w:eastAsia="宋体" w:cs="宋体"/>
          <w:b/>
          <w:i w:val="0"/>
          <w:color w:val="000000"/>
          <w:sz w:val="21"/>
        </w:rPr>
        <w:t>二、解答题</w:t>
      </w:r>
    </w:p>
    <w:p w14:paraId="5326082F">
      <w:pPr>
        <w:shd w:val="clear" w:color="auto" w:fill="auto"/>
        <w:spacing w:line="360" w:lineRule="auto"/>
        <w:jc w:val="left"/>
        <w:textAlignment w:val="center"/>
        <w:rPr>
          <w:sz w:val="21"/>
        </w:rPr>
      </w:pPr>
      <w:r>
        <w:rPr>
          <w:sz w:val="21"/>
        </w:rPr>
        <w:t>17．团粒喷播技术可用于修复因开采过度导致生态受损的海岛。该技术通过使用粘合剂将保水剂、人工土壤原料（含有机堆肥、固氮微生物等多种功能性菌群）与植物种子混合形成团粒，通过喷播工艺覆盖受损地表。回答下列问题：</w:t>
      </w:r>
    </w:p>
    <w:p w14:paraId="14A3F293">
      <w:pPr>
        <w:shd w:val="clear" w:color="auto" w:fill="auto"/>
        <w:spacing w:line="360" w:lineRule="auto"/>
        <w:jc w:val="left"/>
        <w:textAlignment w:val="center"/>
        <w:rPr>
          <w:sz w:val="21"/>
        </w:rPr>
      </w:pPr>
      <w:r>
        <w:rPr>
          <w:sz w:val="21"/>
        </w:rPr>
        <w:t>(1)由于采石活动的进行，某海岛原先有植被覆盖的边坡变成裸地，说明人类活动可以改变群落演替的</w:t>
      </w:r>
      <w:r>
        <w:rPr>
          <w:rFonts w:hint="eastAsia"/>
          <w:sz w:val="21"/>
          <w:u w:val="single"/>
          <w:lang w:val="en-US" w:eastAsia="zh-CN"/>
        </w:rPr>
        <w:t xml:space="preserve">                     </w:t>
      </w:r>
      <w:r>
        <w:rPr>
          <w:sz w:val="21"/>
        </w:rPr>
        <w:t>。人工修复裸露的边坡可直接选用木本植物种子制作团粒进行喷播而不必先在该地种草本植物，主要原因是</w:t>
      </w:r>
      <w:r>
        <w:rPr>
          <w:rFonts w:hint="eastAsia"/>
          <w:sz w:val="21"/>
          <w:u w:val="single"/>
          <w:lang w:val="en-US" w:eastAsia="zh-CN"/>
        </w:rPr>
        <w:t xml:space="preserve">                                </w:t>
      </w:r>
      <w:r>
        <w:rPr>
          <w:sz w:val="21"/>
        </w:rPr>
        <w:t>。</w:t>
      </w:r>
    </w:p>
    <w:p w14:paraId="6C85DE65">
      <w:pPr>
        <w:shd w:val="clear" w:color="auto" w:fill="auto"/>
        <w:spacing w:line="360" w:lineRule="auto"/>
        <w:jc w:val="left"/>
        <w:textAlignment w:val="center"/>
        <w:rPr>
          <w:sz w:val="21"/>
        </w:rPr>
      </w:pPr>
      <w:r>
        <w:rPr>
          <w:sz w:val="21"/>
        </w:rPr>
        <w:t>(2)利用团粒喷播技术对海岛进行修复后结果见图。据图a可知，6个月内可见修复效果显著而9-12月树种竞争明显，依据是</w:t>
      </w:r>
      <w:r>
        <w:rPr>
          <w:rFonts w:hint="eastAsia" w:cs="Times New Roman"/>
          <w:b w:val="0"/>
          <w:sz w:val="21"/>
          <w:u w:val="single"/>
          <w:lang w:val="en-US" w:eastAsia="zh-CN"/>
        </w:rPr>
        <w:t xml:space="preserve">                                                 </w:t>
      </w:r>
      <w:r>
        <w:rPr>
          <w:sz w:val="21"/>
        </w:rPr>
        <w:t>。</w:t>
      </w:r>
    </w:p>
    <w:p w14:paraId="3BE9D6E2">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267835" cy="1708150"/>
            <wp:effectExtent l="0" t="0" r="18415" b="6350"/>
            <wp:docPr id="100009" name="图片 100009" descr="@@@44c4c554-8435-41e0-8a0d-0ddd812d1b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44c4c554-8435-41e0-8a0d-0ddd812d1b1d"/>
                    <pic:cNvPicPr>
                      <a:picLocks noChangeAspect="1"/>
                    </pic:cNvPicPr>
                  </pic:nvPicPr>
                  <pic:blipFill>
                    <a:blip r:embed="rId13"/>
                    <a:stretch>
                      <a:fillRect/>
                    </a:stretch>
                  </pic:blipFill>
                  <pic:spPr>
                    <a:xfrm>
                      <a:off x="0" y="0"/>
                      <a:ext cx="4267835" cy="1708150"/>
                    </a:xfrm>
                    <a:prstGeom prst="rect">
                      <a:avLst/>
                    </a:prstGeom>
                  </pic:spPr>
                </pic:pic>
              </a:graphicData>
            </a:graphic>
          </wp:inline>
        </w:drawing>
      </w:r>
    </w:p>
    <w:p w14:paraId="77BC702A">
      <w:pPr>
        <w:shd w:val="clear" w:color="auto" w:fill="auto"/>
        <w:spacing w:line="360" w:lineRule="auto"/>
        <w:jc w:val="left"/>
        <w:textAlignment w:val="center"/>
        <w:rPr>
          <w:sz w:val="21"/>
        </w:rPr>
      </w:pPr>
      <w:r>
        <w:rPr>
          <w:sz w:val="21"/>
        </w:rPr>
        <w:t>(3)有学者认为此地后续有可能存在爆发严重病虫害的风险，根据图b并结合生态系统稳定性分析，提出你的观点和理由</w:t>
      </w:r>
      <w:r>
        <w:rPr>
          <w:rFonts w:hint="eastAsia"/>
          <w:sz w:val="21"/>
          <w:u w:val="single"/>
          <w:lang w:val="en-US" w:eastAsia="zh-CN"/>
        </w:rPr>
        <w:t xml:space="preserve">                                                  </w:t>
      </w:r>
      <w:r>
        <w:rPr>
          <w:sz w:val="21"/>
        </w:rPr>
        <w:t>。</w:t>
      </w:r>
    </w:p>
    <w:p w14:paraId="41810304">
      <w:pPr>
        <w:shd w:val="clear" w:color="auto" w:fill="auto"/>
        <w:spacing w:line="360" w:lineRule="auto"/>
        <w:jc w:val="left"/>
        <w:textAlignment w:val="center"/>
        <w:rPr>
          <w:rFonts w:hint="eastAsia"/>
          <w:sz w:val="21"/>
          <w:lang w:val="en-US" w:eastAsia="zh-CN"/>
        </w:rPr>
      </w:pPr>
      <w:r>
        <w:rPr>
          <w:sz w:val="21"/>
        </w:rPr>
        <w:t>(4)因修复成效显著，若向生态受损的干旱地区推广此技术，请提出合理的团粒制作建议</w:t>
      </w:r>
      <w:r>
        <w:rPr>
          <w:rFonts w:hint="eastAsia"/>
          <w:sz w:val="21"/>
          <w:lang w:val="en-US" w:eastAsia="zh-CN"/>
        </w:rPr>
        <w:t xml:space="preserve"> </w:t>
      </w:r>
    </w:p>
    <w:p w14:paraId="3B3FB0FC">
      <w:pPr>
        <w:shd w:val="clear" w:color="auto" w:fill="auto"/>
        <w:spacing w:line="360" w:lineRule="auto"/>
        <w:ind w:firstLine="7980" w:firstLineChars="3800"/>
        <w:jc w:val="left"/>
        <w:textAlignment w:val="center"/>
        <w:rPr>
          <w:rFonts w:ascii="黑体" w:hAnsi="黑体" w:eastAsia="黑体" w:cs="黑体"/>
          <w:b/>
          <w:i w:val="0"/>
          <w:color w:val="000000"/>
          <w:sz w:val="30"/>
        </w:rPr>
      </w:pPr>
      <w:r>
        <w:rPr>
          <w:sz w:val="21"/>
        </w:rPr>
        <mc:AlternateContent>
          <mc:Choice Requires="wps">
            <w:drawing>
              <wp:anchor distT="0" distB="0" distL="114300" distR="114300" simplePos="0" relativeHeight="251661312" behindDoc="0" locked="0" layoutInCell="1" allowOverlap="1">
                <wp:simplePos x="0" y="0"/>
                <wp:positionH relativeFrom="column">
                  <wp:posOffset>5080</wp:posOffset>
                </wp:positionH>
                <wp:positionV relativeFrom="paragraph">
                  <wp:posOffset>231140</wp:posOffset>
                </wp:positionV>
                <wp:extent cx="5190490" cy="0"/>
                <wp:effectExtent l="0" t="6350" r="0" b="6350"/>
                <wp:wrapNone/>
                <wp:docPr id="1" name="直接连接符 1"/>
                <wp:cNvGraphicFramePr/>
                <a:graphic xmlns:a="http://schemas.openxmlformats.org/drawingml/2006/main">
                  <a:graphicData uri="http://schemas.microsoft.com/office/word/2010/wordprocessingShape">
                    <wps:wsp>
                      <wps:cNvCnPr/>
                      <wps:spPr>
                        <a:xfrm>
                          <a:off x="1137285" y="1708150"/>
                          <a:ext cx="5190490" cy="0"/>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0.4pt;margin-top:18.2pt;height:0pt;width:408.7pt;z-index:251661312;mso-width-relative:page;mso-height-relative:page;" filled="f" stroked="t" coordsize="21600,21600" o:gfxdata="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iN/6StUAAAAGAQAADwAAAAAAAAABACAAAAAiAAAAZHJzL2Rvd25yZXYueG1sUEsBAhQAFAAAAAgA&#10;h07iQLOh3QPvAQAAvgMAAA4AAAAAAAAAAQAgAAAAJAEAAGRycy9lMm9Eb2MueG1sUEsFBgAAAAAG&#10;AAYAWQEAAIUFAAAAAA==&#10;">
                <v:fill on="f" focussize="0,0"/>
                <v:stroke weight="1pt" color="#000000 [3213]" miterlimit="8" joinstyle="miter"/>
                <v:imagedata o:title=""/>
                <o:lock v:ext="edit" aspectratio="f"/>
              </v:line>
            </w:pict>
          </mc:Fallback>
        </mc:AlternateContent>
      </w:r>
      <w:r>
        <w:rPr>
          <w:rFonts w:hint="eastAsia"/>
          <w:sz w:val="21"/>
          <w:lang w:val="en-US" w:eastAsia="zh-CN"/>
        </w:rPr>
        <w:t xml:space="preserve">   </w:t>
      </w:r>
      <w:r>
        <w:rPr>
          <w:sz w:val="21"/>
        </w:rPr>
        <w:t>。</w:t>
      </w:r>
    </w:p>
    <w:p w14:paraId="23F0ECF2">
      <w:pPr>
        <w:shd w:val="clear" w:color="auto" w:fill="auto"/>
        <w:spacing w:line="360" w:lineRule="auto"/>
        <w:jc w:val="left"/>
        <w:textAlignment w:val="center"/>
        <w:rPr>
          <w:sz w:val="21"/>
        </w:rPr>
      </w:pPr>
      <w:r>
        <w:rPr>
          <w:sz w:val="21"/>
        </w:rPr>
        <w:t>18．水稻OsPEL蛋白是影响叶绿体发育的关键物质。为培育高光合效率的水稻，研究人员构建了OsPEL基因敲除突变体（KO）和OsPEL基因过量表达株（OE），测定了不同株系叶片的部分生理指标，结果如下表。</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57"/>
        <w:gridCol w:w="2092"/>
        <w:gridCol w:w="2168"/>
        <w:gridCol w:w="2008"/>
      </w:tblGrid>
      <w:tr w14:paraId="7E66D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190DA7">
            <w:pPr>
              <w:shd w:val="clear" w:color="auto" w:fill="auto"/>
              <w:spacing w:line="360" w:lineRule="auto"/>
              <w:jc w:val="left"/>
              <w:textAlignment w:val="center"/>
              <w:rPr>
                <w:sz w:val="21"/>
              </w:rPr>
            </w:pPr>
            <w:r>
              <w:rPr>
                <w:sz w:val="21"/>
              </w:rPr>
              <w:t>株系</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21DE12">
            <w:pPr>
              <w:shd w:val="clear" w:color="auto" w:fill="auto"/>
              <w:spacing w:line="360" w:lineRule="auto"/>
              <w:jc w:val="left"/>
              <w:textAlignment w:val="center"/>
              <w:rPr>
                <w:sz w:val="21"/>
              </w:rPr>
            </w:pPr>
            <w:r>
              <w:rPr>
                <w:sz w:val="21"/>
              </w:rPr>
              <w:t>叶绿素含量（mg·g</w:t>
            </w:r>
            <w:r>
              <w:rPr>
                <w:sz w:val="21"/>
                <w:vertAlign w:val="superscript"/>
              </w:rPr>
              <w:t>-1</w:t>
            </w:r>
            <w:r>
              <w:rPr>
                <w:sz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EC3EA3">
            <w:pPr>
              <w:shd w:val="clear" w:color="auto" w:fill="auto"/>
              <w:spacing w:line="360" w:lineRule="auto"/>
              <w:jc w:val="left"/>
              <w:textAlignment w:val="center"/>
              <w:rPr>
                <w:sz w:val="21"/>
              </w:rPr>
            </w:pPr>
            <w:r>
              <w:rPr>
                <w:sz w:val="21"/>
              </w:rPr>
              <w:t>净光合速率（μmol·m</w:t>
            </w:r>
            <w:r>
              <w:rPr>
                <w:sz w:val="21"/>
                <w:vertAlign w:val="superscript"/>
              </w:rPr>
              <w:t>-2</w:t>
            </w:r>
            <w:r>
              <w:rPr>
                <w:sz w:val="21"/>
              </w:rPr>
              <w:t>·s</w:t>
            </w:r>
            <w:r>
              <w:rPr>
                <w:sz w:val="21"/>
                <w:vertAlign w:val="superscript"/>
              </w:rPr>
              <w:t>-1</w:t>
            </w:r>
            <w:r>
              <w:rPr>
                <w:sz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A10CDF">
            <w:pPr>
              <w:shd w:val="clear" w:color="auto" w:fill="auto"/>
              <w:spacing w:line="360" w:lineRule="auto"/>
              <w:jc w:val="left"/>
              <w:textAlignment w:val="center"/>
              <w:rPr>
                <w:sz w:val="21"/>
              </w:rPr>
            </w:pPr>
            <w:r>
              <w:rPr>
                <w:sz w:val="21"/>
              </w:rPr>
              <w:t>维管束鞘细胞叶绿体数量（相对于WT的倍数）</w:t>
            </w:r>
          </w:p>
        </w:tc>
      </w:tr>
      <w:tr w14:paraId="53E40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F0C21B">
            <w:pPr>
              <w:shd w:val="clear" w:color="auto" w:fill="auto"/>
              <w:spacing w:line="360" w:lineRule="auto"/>
              <w:jc w:val="left"/>
              <w:textAlignment w:val="center"/>
              <w:rPr>
                <w:sz w:val="21"/>
              </w:rPr>
            </w:pPr>
            <w:r>
              <w:rPr>
                <w:sz w:val="21"/>
              </w:rPr>
              <w:t>野生型（WT）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A07B64">
            <w:pPr>
              <w:shd w:val="clear" w:color="auto" w:fill="auto"/>
              <w:spacing w:line="360" w:lineRule="auto"/>
              <w:jc w:val="left"/>
              <w:textAlignment w:val="center"/>
              <w:rPr>
                <w:sz w:val="21"/>
              </w:rPr>
            </w:pPr>
            <w:r>
              <w:rPr>
                <w:sz w:val="21"/>
              </w:rPr>
              <w:t>3.2</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B1F370">
            <w:pPr>
              <w:shd w:val="clear" w:color="auto" w:fill="auto"/>
              <w:spacing w:line="360" w:lineRule="auto"/>
              <w:jc w:val="left"/>
              <w:textAlignment w:val="center"/>
              <w:rPr>
                <w:sz w:val="21"/>
              </w:rPr>
            </w:pPr>
            <w:r>
              <w:rPr>
                <w:sz w:val="21"/>
              </w:rPr>
              <w:t>20.5</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AA07AE">
            <w:pPr>
              <w:shd w:val="clear" w:color="auto" w:fill="auto"/>
              <w:spacing w:line="360" w:lineRule="auto"/>
              <w:jc w:val="left"/>
              <w:textAlignment w:val="center"/>
              <w:rPr>
                <w:sz w:val="21"/>
              </w:rPr>
            </w:pPr>
            <w:r>
              <w:rPr>
                <w:sz w:val="21"/>
              </w:rPr>
              <w:t>1.0×</w:t>
            </w:r>
          </w:p>
        </w:tc>
      </w:tr>
      <w:tr w14:paraId="38155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DC628A">
            <w:pPr>
              <w:shd w:val="clear" w:color="auto" w:fill="auto"/>
              <w:spacing w:line="360" w:lineRule="auto"/>
              <w:jc w:val="left"/>
              <w:textAlignment w:val="center"/>
              <w:rPr>
                <w:sz w:val="21"/>
              </w:rPr>
            </w:pPr>
            <w:r>
              <w:rPr>
                <w:sz w:val="21"/>
              </w:rPr>
              <w:t>KO</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DBD467">
            <w:pPr>
              <w:shd w:val="clear" w:color="auto" w:fill="auto"/>
              <w:spacing w:line="360" w:lineRule="auto"/>
              <w:jc w:val="left"/>
              <w:textAlignment w:val="center"/>
              <w:rPr>
                <w:sz w:val="21"/>
              </w:rPr>
            </w:pPr>
            <w:r>
              <w:rPr>
                <w:sz w:val="21"/>
              </w:rPr>
              <w:t>4.8</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373BB1">
            <w:pPr>
              <w:shd w:val="clear" w:color="auto" w:fill="auto"/>
              <w:spacing w:line="360" w:lineRule="auto"/>
              <w:jc w:val="left"/>
              <w:textAlignment w:val="center"/>
              <w:rPr>
                <w:sz w:val="21"/>
              </w:rPr>
            </w:pPr>
            <w:r>
              <w:rPr>
                <w:sz w:val="21"/>
              </w:rPr>
              <w:t>28.6</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E20E24">
            <w:pPr>
              <w:shd w:val="clear" w:color="auto" w:fill="auto"/>
              <w:spacing w:line="360" w:lineRule="auto"/>
              <w:jc w:val="left"/>
              <w:textAlignment w:val="center"/>
              <w:rPr>
                <w:sz w:val="21"/>
              </w:rPr>
            </w:pPr>
            <w:r>
              <w:rPr>
                <w:sz w:val="21"/>
              </w:rPr>
              <w:t>3.6×</w:t>
            </w:r>
          </w:p>
        </w:tc>
      </w:tr>
      <w:tr w14:paraId="7842F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05AE38">
            <w:pPr>
              <w:shd w:val="clear" w:color="auto" w:fill="auto"/>
              <w:spacing w:line="360" w:lineRule="auto"/>
              <w:jc w:val="left"/>
              <w:textAlignment w:val="center"/>
              <w:rPr>
                <w:sz w:val="21"/>
              </w:rPr>
            </w:pPr>
            <w:r>
              <w:rPr>
                <w:sz w:val="21"/>
              </w:rPr>
              <w:t>OE</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348E49">
            <w:pPr>
              <w:shd w:val="clear" w:color="auto" w:fill="auto"/>
              <w:spacing w:line="360" w:lineRule="auto"/>
              <w:jc w:val="left"/>
              <w:textAlignment w:val="center"/>
              <w:rPr>
                <w:sz w:val="21"/>
              </w:rPr>
            </w:pPr>
            <w:r>
              <w:rPr>
                <w:sz w:val="21"/>
              </w:rPr>
              <w:t>1.6</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7077E5">
            <w:pPr>
              <w:shd w:val="clear" w:color="auto" w:fill="auto"/>
              <w:spacing w:line="360" w:lineRule="auto"/>
              <w:jc w:val="left"/>
              <w:textAlignment w:val="center"/>
              <w:rPr>
                <w:sz w:val="21"/>
              </w:rPr>
            </w:pPr>
            <w:r>
              <w:rPr>
                <w:sz w:val="21"/>
              </w:rPr>
              <w:t>16.3</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79D8D3">
            <w:pPr>
              <w:shd w:val="clear" w:color="auto" w:fill="auto"/>
              <w:spacing w:line="360" w:lineRule="auto"/>
              <w:jc w:val="left"/>
              <w:textAlignment w:val="center"/>
              <w:rPr>
                <w:sz w:val="21"/>
              </w:rPr>
            </w:pPr>
            <w:r>
              <w:rPr>
                <w:sz w:val="21"/>
              </w:rPr>
              <w:t>0.4×</w:t>
            </w:r>
          </w:p>
        </w:tc>
      </w:tr>
    </w:tbl>
    <w:p w14:paraId="03E44E2D">
      <w:pPr>
        <w:shd w:val="clear" w:color="auto" w:fill="auto"/>
        <w:spacing w:line="360" w:lineRule="auto"/>
        <w:jc w:val="left"/>
        <w:textAlignment w:val="center"/>
        <w:rPr>
          <w:sz w:val="21"/>
        </w:rPr>
      </w:pPr>
      <w:r>
        <w:rPr>
          <w:sz w:val="21"/>
        </w:rPr>
        <w:t>回答下列问题：</w:t>
      </w:r>
    </w:p>
    <w:p w14:paraId="2BD170AF">
      <w:pPr>
        <w:shd w:val="clear" w:color="auto" w:fill="auto"/>
        <w:spacing w:line="360" w:lineRule="auto"/>
        <w:jc w:val="left"/>
        <w:textAlignment w:val="center"/>
        <w:rPr>
          <w:sz w:val="21"/>
        </w:rPr>
      </w:pPr>
      <w:r>
        <w:rPr>
          <w:sz w:val="21"/>
        </w:rPr>
        <w:t>(1)据表推测，OsPEL蛋白对叶绿体发育起</w:t>
      </w:r>
      <w:r>
        <w:rPr>
          <w:rFonts w:ascii="Times New Roman" w:hAnsi="Times New Roman" w:eastAsia="Times New Roman" w:cs="Times New Roman"/>
          <w:b w:val="0"/>
          <w:sz w:val="21"/>
        </w:rPr>
        <w:t>_______</w:t>
      </w:r>
      <w:r>
        <w:rPr>
          <w:sz w:val="21"/>
        </w:rPr>
        <w:t>（填“促进”或“抑制”）作用。</w:t>
      </w:r>
    </w:p>
    <w:p w14:paraId="146F2C59">
      <w:pPr>
        <w:shd w:val="clear" w:color="auto" w:fill="auto"/>
        <w:spacing w:line="360" w:lineRule="auto"/>
        <w:jc w:val="left"/>
        <w:textAlignment w:val="center"/>
        <w:rPr>
          <w:sz w:val="21"/>
        </w:rPr>
      </w:pPr>
      <w:r>
        <w:rPr>
          <w:sz w:val="21"/>
        </w:rPr>
        <w:t>(2)OsPEL蛋白调控叶绿体发育的作用机制见图。GLKs是一种调节光合相关基因转录的蛋白质，PSA2、PhANGs是光系统I（PSI）组装相关蛋白。</w:t>
      </w:r>
    </w:p>
    <w:p w14:paraId="62870156">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771900" cy="1924050"/>
            <wp:effectExtent l="0" t="0" r="0" b="0"/>
            <wp:docPr id="100011" name="图片 100011" descr="@@@230b1964-67b0-441f-81f7-c6f4826c4c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230b1964-67b0-441f-81f7-c6f4826c4cbe"/>
                    <pic:cNvPicPr>
                      <a:picLocks noChangeAspect="1"/>
                    </pic:cNvPicPr>
                  </pic:nvPicPr>
                  <pic:blipFill>
                    <a:blip r:embed="rId14"/>
                    <a:stretch>
                      <a:fillRect/>
                    </a:stretch>
                  </pic:blipFill>
                  <pic:spPr>
                    <a:xfrm>
                      <a:off x="0" y="0"/>
                      <a:ext cx="3771900" cy="1924050"/>
                    </a:xfrm>
                    <a:prstGeom prst="rect">
                      <a:avLst/>
                    </a:prstGeom>
                  </pic:spPr>
                </pic:pic>
              </a:graphicData>
            </a:graphic>
          </wp:inline>
        </w:drawing>
      </w:r>
    </w:p>
    <w:p w14:paraId="54C894F8">
      <w:pPr>
        <w:shd w:val="clear" w:color="auto" w:fill="auto"/>
        <w:spacing w:line="360" w:lineRule="auto"/>
        <w:jc w:val="left"/>
        <w:textAlignment w:val="center"/>
        <w:rPr>
          <w:sz w:val="21"/>
        </w:rPr>
      </w:pPr>
      <w:r>
        <w:rPr>
          <w:sz w:val="21"/>
        </w:rPr>
        <w:t>据图分析，OsPEL过表达能影响PSI组装进而改变光合速率，其具体的途径为：</w:t>
      </w:r>
    </w:p>
    <w:p w14:paraId="7B2C90BD">
      <w:pPr>
        <w:shd w:val="clear" w:color="auto" w:fill="auto"/>
        <w:spacing w:line="360" w:lineRule="auto"/>
        <w:jc w:val="left"/>
        <w:textAlignment w:val="center"/>
        <w:rPr>
          <w:sz w:val="21"/>
        </w:rPr>
      </w:pPr>
      <w:r>
        <w:rPr>
          <w:sz w:val="21"/>
        </w:rPr>
        <w:t>途径①：OsPEL与GLKs结合抑制其进入细胞核，导致核内GLKs含量降低；</w:t>
      </w:r>
    </w:p>
    <w:p w14:paraId="427E42E9">
      <w:pPr>
        <w:shd w:val="clear" w:color="auto" w:fill="auto"/>
        <w:spacing w:line="360" w:lineRule="auto"/>
        <w:jc w:val="left"/>
        <w:textAlignment w:val="center"/>
        <w:rPr>
          <w:sz w:val="21"/>
        </w:rPr>
      </w:pPr>
      <w:r>
        <w:rPr>
          <w:sz w:val="21"/>
        </w:rPr>
        <w:t>途径②：</w:t>
      </w:r>
      <w:r>
        <w:rPr>
          <w:rFonts w:ascii="Times New Roman" w:hAnsi="Times New Roman" w:eastAsia="Times New Roman" w:cs="Times New Roman"/>
          <w:b w:val="0"/>
          <w:sz w:val="21"/>
        </w:rPr>
        <w:t>____</w:t>
      </w:r>
      <w:r>
        <w:rPr>
          <w:rFonts w:ascii="Times New Roman" w:hAnsi="Times New Roman" w:eastAsia="Times New Roman" w:cs="Times New Roman"/>
          <w:b w:val="0"/>
          <w:sz w:val="21"/>
          <w:u w:val="single"/>
        </w:rPr>
        <w:t>_</w:t>
      </w:r>
      <w:r>
        <w:rPr>
          <w:rFonts w:hint="eastAsia" w:cs="Times New Roman"/>
          <w:b w:val="0"/>
          <w:sz w:val="21"/>
          <w:u w:val="single"/>
          <w:lang w:val="en-US" w:eastAsia="zh-CN"/>
        </w:rPr>
        <w:t xml:space="preserve">                                                   </w:t>
      </w:r>
      <w:r>
        <w:rPr>
          <w:sz w:val="21"/>
        </w:rPr>
        <w:t>；</w:t>
      </w:r>
    </w:p>
    <w:p w14:paraId="0A04CB33">
      <w:pPr>
        <w:shd w:val="clear" w:color="auto" w:fill="auto"/>
        <w:spacing w:line="360" w:lineRule="auto"/>
        <w:jc w:val="left"/>
        <w:textAlignment w:val="center"/>
        <w:rPr>
          <w:sz w:val="21"/>
        </w:rPr>
      </w:pPr>
      <w:r>
        <w:rPr>
          <w:sz w:val="21"/>
        </w:rPr>
        <w:t>途径③：</w:t>
      </w:r>
      <w:r>
        <w:rPr>
          <w:rFonts w:ascii="Times New Roman" w:hAnsi="Times New Roman" w:eastAsia="Times New Roman" w:cs="Times New Roman"/>
          <w:b w:val="0"/>
          <w:sz w:val="21"/>
        </w:rPr>
        <w:t>____</w:t>
      </w:r>
      <w:r>
        <w:rPr>
          <w:rFonts w:ascii="Times New Roman" w:hAnsi="Times New Roman" w:eastAsia="Times New Roman" w:cs="Times New Roman"/>
          <w:b w:val="0"/>
          <w:sz w:val="21"/>
          <w:u w:val="single"/>
        </w:rPr>
        <w:t>_</w:t>
      </w:r>
      <w:r>
        <w:rPr>
          <w:rFonts w:hint="eastAsia" w:cs="Times New Roman"/>
          <w:b w:val="0"/>
          <w:sz w:val="21"/>
          <w:u w:val="single"/>
          <w:lang w:val="en-US" w:eastAsia="zh-CN"/>
        </w:rPr>
        <w:t xml:space="preserve">                                                    </w:t>
      </w:r>
      <w:r>
        <w:rPr>
          <w:sz w:val="21"/>
        </w:rPr>
        <w:t>。</w:t>
      </w:r>
    </w:p>
    <w:p w14:paraId="60E4BEDA">
      <w:pPr>
        <w:shd w:val="clear" w:color="auto" w:fill="auto"/>
        <w:spacing w:line="360" w:lineRule="auto"/>
        <w:jc w:val="left"/>
        <w:textAlignment w:val="center"/>
        <w:rPr>
          <w:sz w:val="21"/>
        </w:rPr>
      </w:pPr>
      <w:r>
        <w:rPr>
          <w:sz w:val="21"/>
        </w:rPr>
        <w:t>(3)为验证存在上述途径①，科研人员利用红色荧光蛋白和绿色荧光蛋白分别标记OsPEL和GLKs，显微镜下观察叶片细胞中荧光分布，请在表格中的a和b处完善实验结果。（“+”表示有荧光，“++”表示荧光较强，“-”表示几乎无荧光）</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37"/>
        <w:gridCol w:w="1604"/>
        <w:gridCol w:w="1743"/>
        <w:gridCol w:w="1594"/>
        <w:gridCol w:w="1747"/>
      </w:tblGrid>
      <w:tr w14:paraId="227C9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9404F8">
            <w:pPr>
              <w:shd w:val="clear" w:color="auto" w:fill="auto"/>
              <w:spacing w:line="360" w:lineRule="auto"/>
              <w:jc w:val="left"/>
              <w:textAlignment w:val="center"/>
              <w:rPr>
                <w:sz w:val="21"/>
              </w:rPr>
            </w:pPr>
            <w:r>
              <w:rPr>
                <w:sz w:val="21"/>
              </w:rPr>
              <w:t>组别</w:t>
            </w:r>
          </w:p>
        </w:tc>
        <w:tc>
          <w:tcPr>
            <w:tcW w:w="225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A56BC4">
            <w:pPr>
              <w:shd w:val="clear" w:color="auto" w:fill="auto"/>
              <w:spacing w:line="360" w:lineRule="auto"/>
              <w:jc w:val="left"/>
              <w:textAlignment w:val="center"/>
              <w:rPr>
                <w:sz w:val="21"/>
              </w:rPr>
            </w:pPr>
            <w:r>
              <w:rPr>
                <w:sz w:val="21"/>
              </w:rPr>
              <w:t>细胞质</w:t>
            </w:r>
          </w:p>
        </w:tc>
        <w:tc>
          <w:tcPr>
            <w:tcW w:w="225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4673F8">
            <w:pPr>
              <w:shd w:val="clear" w:color="auto" w:fill="auto"/>
              <w:spacing w:line="360" w:lineRule="auto"/>
              <w:jc w:val="left"/>
              <w:textAlignment w:val="center"/>
              <w:rPr>
                <w:sz w:val="21"/>
              </w:rPr>
            </w:pPr>
            <w:r>
              <w:rPr>
                <w:sz w:val="21"/>
              </w:rPr>
              <w:t>细胞核</w:t>
            </w:r>
          </w:p>
        </w:tc>
      </w:tr>
      <w:tr w14:paraId="598C7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19D44355">
            <w:pPr>
              <w:shd w:val="clear" w:color="auto" w:fill="auto"/>
              <w:spacing w:line="360" w:lineRule="auto"/>
              <w:jc w:val="left"/>
              <w:textAlignment w:val="center"/>
              <w:rPr>
                <w:sz w:val="21"/>
              </w:rPr>
            </w:pP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F9CFD3">
            <w:pPr>
              <w:shd w:val="clear" w:color="auto" w:fill="auto"/>
              <w:spacing w:line="360" w:lineRule="auto"/>
              <w:jc w:val="left"/>
              <w:textAlignment w:val="center"/>
              <w:rPr>
                <w:sz w:val="21"/>
              </w:rPr>
            </w:pPr>
            <w:r>
              <w:rPr>
                <w:sz w:val="21"/>
              </w:rPr>
              <w:t>红色荧光</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1A2594">
            <w:pPr>
              <w:shd w:val="clear" w:color="auto" w:fill="auto"/>
              <w:spacing w:line="360" w:lineRule="auto"/>
              <w:jc w:val="left"/>
              <w:textAlignment w:val="center"/>
              <w:rPr>
                <w:sz w:val="21"/>
              </w:rPr>
            </w:pPr>
            <w:r>
              <w:rPr>
                <w:sz w:val="21"/>
              </w:rPr>
              <w:t>绿色荧光</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46A118">
            <w:pPr>
              <w:shd w:val="clear" w:color="auto" w:fill="auto"/>
              <w:spacing w:line="360" w:lineRule="auto"/>
              <w:jc w:val="left"/>
              <w:textAlignment w:val="center"/>
              <w:rPr>
                <w:sz w:val="21"/>
              </w:rPr>
            </w:pPr>
            <w:r>
              <w:rPr>
                <w:sz w:val="21"/>
              </w:rPr>
              <w:t>红色荧光</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7566C0">
            <w:pPr>
              <w:shd w:val="clear" w:color="auto" w:fill="auto"/>
              <w:spacing w:line="360" w:lineRule="auto"/>
              <w:jc w:val="left"/>
              <w:textAlignment w:val="center"/>
              <w:rPr>
                <w:sz w:val="21"/>
              </w:rPr>
            </w:pPr>
            <w:r>
              <w:rPr>
                <w:sz w:val="21"/>
              </w:rPr>
              <w:t>绿色荧光</w:t>
            </w:r>
          </w:p>
        </w:tc>
      </w:tr>
      <w:tr w14:paraId="275FF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A5F2EC">
            <w:pPr>
              <w:shd w:val="clear" w:color="auto" w:fill="auto"/>
              <w:spacing w:line="360" w:lineRule="auto"/>
              <w:jc w:val="left"/>
              <w:textAlignment w:val="center"/>
              <w:rPr>
                <w:sz w:val="21"/>
              </w:rPr>
            </w:pPr>
            <w:r>
              <w:rPr>
                <w:sz w:val="21"/>
              </w:rPr>
              <w:t>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11855F">
            <w:pPr>
              <w:shd w:val="clear" w:color="auto" w:fill="auto"/>
              <w:spacing w:line="360" w:lineRule="auto"/>
              <w:jc w:val="left"/>
              <w:textAlignment w:val="center"/>
              <w:rPr>
                <w:sz w:val="21"/>
              </w:rPr>
            </w:pPr>
            <w:r>
              <w:rPr>
                <w:sz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3886BD">
            <w:pPr>
              <w:shd w:val="clear" w:color="auto" w:fill="auto"/>
              <w:spacing w:line="360" w:lineRule="auto"/>
              <w:jc w:val="left"/>
              <w:textAlignment w:val="center"/>
              <w:rPr>
                <w:sz w:val="21"/>
              </w:rPr>
            </w:pPr>
            <w:r>
              <w:rPr>
                <w:sz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B8DFF9">
            <w:pPr>
              <w:shd w:val="clear" w:color="auto" w:fill="auto"/>
              <w:spacing w:line="360" w:lineRule="auto"/>
              <w:jc w:val="left"/>
              <w:textAlignment w:val="center"/>
              <w:rPr>
                <w:sz w:val="21"/>
              </w:rPr>
            </w:pPr>
            <w:r>
              <w:rPr>
                <w:sz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95DE2E">
            <w:pPr>
              <w:shd w:val="clear" w:color="auto" w:fill="auto"/>
              <w:spacing w:line="360" w:lineRule="auto"/>
              <w:jc w:val="left"/>
              <w:textAlignment w:val="center"/>
              <w:rPr>
                <w:sz w:val="21"/>
              </w:rPr>
            </w:pPr>
            <w:r>
              <w:rPr>
                <w:sz w:val="21"/>
              </w:rPr>
              <w:t>++</w:t>
            </w:r>
          </w:p>
        </w:tc>
      </w:tr>
      <w:tr w14:paraId="6F0A7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BC2E17">
            <w:pPr>
              <w:shd w:val="clear" w:color="auto" w:fill="auto"/>
              <w:spacing w:line="360" w:lineRule="auto"/>
              <w:jc w:val="left"/>
              <w:textAlignment w:val="center"/>
              <w:rPr>
                <w:sz w:val="21"/>
              </w:rPr>
            </w:pPr>
            <w:r>
              <w:rPr>
                <w:sz w:val="21"/>
              </w:rPr>
              <w:t>OE</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CC041A">
            <w:pPr>
              <w:shd w:val="clear" w:color="auto" w:fill="auto"/>
              <w:spacing w:line="360" w:lineRule="auto"/>
              <w:jc w:val="left"/>
              <w:textAlignment w:val="center"/>
              <w:rPr>
                <w:sz w:val="21"/>
              </w:rPr>
            </w:pPr>
            <w:r>
              <w:rPr>
                <w:sz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BD92AC">
            <w:pPr>
              <w:shd w:val="clear" w:color="auto" w:fill="auto"/>
              <w:spacing w:line="360" w:lineRule="auto"/>
              <w:jc w:val="left"/>
              <w:textAlignment w:val="center"/>
              <w:rPr>
                <w:sz w:val="21"/>
              </w:rPr>
            </w:pPr>
            <w:r>
              <w:rPr>
                <w:sz w:val="21"/>
              </w:rPr>
              <w:t>a</w:t>
            </w:r>
            <w:r>
              <w:rPr>
                <w:rFonts w:ascii="Times New Roman" w:hAnsi="Times New Roman" w:eastAsia="Times New Roman" w:cs="Times New Roman"/>
                <w:b w:val="0"/>
                <w:sz w:val="21"/>
              </w:rPr>
              <w:t>_____</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5699EA">
            <w:pPr>
              <w:shd w:val="clear" w:color="auto" w:fill="auto"/>
              <w:spacing w:line="360" w:lineRule="auto"/>
              <w:jc w:val="left"/>
              <w:textAlignment w:val="center"/>
              <w:rPr>
                <w:sz w:val="21"/>
              </w:rPr>
            </w:pPr>
            <w:r>
              <w:rPr>
                <w:sz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117C93">
            <w:pPr>
              <w:shd w:val="clear" w:color="auto" w:fill="auto"/>
              <w:spacing w:line="360" w:lineRule="auto"/>
              <w:jc w:val="left"/>
              <w:textAlignment w:val="center"/>
              <w:rPr>
                <w:sz w:val="21"/>
              </w:rPr>
            </w:pPr>
            <w:r>
              <w:rPr>
                <w:sz w:val="21"/>
              </w:rPr>
              <w:t>b</w:t>
            </w:r>
            <w:r>
              <w:rPr>
                <w:rFonts w:ascii="Times New Roman" w:hAnsi="Times New Roman" w:eastAsia="Times New Roman" w:cs="Times New Roman"/>
                <w:b w:val="0"/>
                <w:sz w:val="21"/>
              </w:rPr>
              <w:t>_____</w:t>
            </w:r>
          </w:p>
        </w:tc>
      </w:tr>
    </w:tbl>
    <w:p w14:paraId="3D3D4EF9">
      <w:pPr>
        <w:numPr>
          <w:ilvl w:val="0"/>
          <w:numId w:val="1"/>
        </w:numPr>
        <w:shd w:val="clear" w:color="auto" w:fill="auto"/>
        <w:spacing w:line="360" w:lineRule="auto"/>
        <w:jc w:val="left"/>
        <w:textAlignment w:val="center"/>
        <w:rPr>
          <w:sz w:val="21"/>
        </w:rPr>
      </w:pPr>
      <w:r>
        <w:rPr>
          <w:sz w:val="21"/>
        </w:rPr>
        <w:t>与水稻相比，玉米光合效率高的关键在于其特有的C</w:t>
      </w:r>
      <w:r>
        <w:rPr>
          <w:sz w:val="21"/>
          <w:vertAlign w:val="subscript"/>
        </w:rPr>
        <w:t>4</w:t>
      </w:r>
      <w:r>
        <w:rPr>
          <w:sz w:val="21"/>
        </w:rPr>
        <w:t>途径，即通过相关酶与转运蛋白的协同作用，在叶肉细胞中高效固定CO</w:t>
      </w:r>
      <w:r>
        <w:rPr>
          <w:sz w:val="21"/>
          <w:vertAlign w:val="subscript"/>
        </w:rPr>
        <w:t>2</w:t>
      </w:r>
      <w:r>
        <w:rPr>
          <w:sz w:val="21"/>
        </w:rPr>
        <w:t>并形成C</w:t>
      </w:r>
      <w:r>
        <w:rPr>
          <w:sz w:val="21"/>
          <w:vertAlign w:val="subscript"/>
        </w:rPr>
        <w:t>4</w:t>
      </w:r>
      <w:r>
        <w:rPr>
          <w:sz w:val="21"/>
        </w:rPr>
        <w:t>化合物，随后运输至维管束鞘细胞中被利用。结合上述信息和研究结论，提出培育高产水稻的育种策略</w:t>
      </w:r>
      <w:r>
        <w:rPr>
          <w:rFonts w:ascii="Times New Roman" w:hAnsi="Times New Roman" w:eastAsia="Times New Roman" w:cs="Times New Roman"/>
          <w:b w:val="0"/>
          <w:sz w:val="21"/>
        </w:rPr>
        <w:t>_________________________</w:t>
      </w:r>
      <w:r>
        <w:rPr>
          <w:rFonts w:hint="eastAsia" w:cs="Times New Roman"/>
          <w:b w:val="0"/>
          <w:sz w:val="21"/>
          <w:lang w:val="en-US" w:eastAsia="zh-CN"/>
        </w:rPr>
        <w:t xml:space="preserve">                        </w:t>
      </w:r>
    </w:p>
    <w:p w14:paraId="4A89A105">
      <w:pPr>
        <w:numPr>
          <w:numId w:val="0"/>
        </w:numPr>
        <w:shd w:val="clear" w:color="auto" w:fill="auto"/>
        <w:spacing w:line="360" w:lineRule="auto"/>
        <w:ind w:firstLine="8190" w:firstLineChars="3900"/>
        <w:jc w:val="left"/>
        <w:textAlignment w:val="center"/>
        <w:rPr>
          <w:sz w:val="21"/>
        </w:rPr>
      </w:pPr>
      <w:r>
        <w:rPr>
          <w:sz w:val="21"/>
        </w:rPr>
        <w:t>。</w:t>
      </w:r>
      <w:r>
        <w:rPr>
          <w:sz w:val="21"/>
        </w:rPr>
        <mc:AlternateContent>
          <mc:Choice Requires="wps">
            <w:drawing>
              <wp:anchor distT="0" distB="0" distL="114300" distR="114300" simplePos="0" relativeHeight="251662336" behindDoc="0" locked="0" layoutInCell="1" allowOverlap="1">
                <wp:simplePos x="0" y="0"/>
                <wp:positionH relativeFrom="column">
                  <wp:posOffset>-24765</wp:posOffset>
                </wp:positionH>
                <wp:positionV relativeFrom="paragraph">
                  <wp:posOffset>236220</wp:posOffset>
                </wp:positionV>
                <wp:extent cx="5190490" cy="0"/>
                <wp:effectExtent l="0" t="6350" r="0" b="6350"/>
                <wp:wrapNone/>
                <wp:docPr id="2" name="直接连接符 2"/>
                <wp:cNvGraphicFramePr/>
                <a:graphic xmlns:a="http://schemas.openxmlformats.org/drawingml/2006/main">
                  <a:graphicData uri="http://schemas.microsoft.com/office/word/2010/wordprocessingShape">
                    <wps:wsp>
                      <wps:cNvCnPr/>
                      <wps:spPr>
                        <a:xfrm>
                          <a:off x="0" y="0"/>
                          <a:ext cx="5190490" cy="0"/>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1.95pt;margin-top:18.6pt;height:0pt;width:408.7pt;z-index:251662336;mso-width-relative:page;mso-height-relative:page;" filled="f" stroked="t" coordsize="21600,21600" o:gfxdata="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IP2JF2AAAAAgB&#10;AAAPAAAAAAAAAAEAIAAAACIAAABkcnMvZG93bnJldi54bWxQSwECFAAUAAAACACHTuJAKfU06OIB&#10;AACyAwAADgAAAAAAAAABACAAAAAnAQAAZHJzL2Uyb0RvYy54bWxQSwUGAAAAAAYABgBZAQAAewUA&#10;AAAA&#10;">
                <v:fill on="f" focussize="0,0"/>
                <v:stroke weight="1pt" color="#000000 [3213]" miterlimit="8" joinstyle="miter"/>
                <v:imagedata o:title=""/>
                <o:lock v:ext="edit" aspectratio="f"/>
              </v:line>
            </w:pict>
          </mc:Fallback>
        </mc:AlternateContent>
      </w:r>
    </w:p>
    <w:p w14:paraId="34FAE33A">
      <w:pPr>
        <w:shd w:val="clear" w:color="auto" w:fill="auto"/>
        <w:spacing w:line="360" w:lineRule="auto"/>
        <w:jc w:val="left"/>
        <w:textAlignment w:val="center"/>
        <w:rPr>
          <w:sz w:val="21"/>
        </w:rPr>
      </w:pPr>
      <w:r>
        <w:rPr>
          <w:sz w:val="21"/>
        </w:rPr>
        <w:t>19．多囊肾病是一种常染色体遗传病，可由17号染色体上的Pkd1基因（P）突变引起。科研人员培育多囊肾模型小鼠（简称“模型鼠”），试图通过诱变和遗传筛选，找到能减缓肾囊肿生长的突变基因位点，为基因治疗提供新靶点。</w:t>
      </w:r>
    </w:p>
    <w:p w14:paraId="1891697A">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2451100"/>
            <wp:effectExtent l="0" t="0" r="635" b="6350"/>
            <wp:docPr id="100013" name="图片 100013" descr="@@@14d7ae95-f2ac-4a2c-9d0b-319425ec9e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14d7ae95-f2ac-4a2c-9d0b-319425ec9e88"/>
                    <pic:cNvPicPr>
                      <a:picLocks noChangeAspect="1"/>
                    </pic:cNvPicPr>
                  </pic:nvPicPr>
                  <pic:blipFill>
                    <a:blip r:embed="rId15"/>
                    <a:stretch>
                      <a:fillRect/>
                    </a:stretch>
                  </pic:blipFill>
                  <pic:spPr>
                    <a:xfrm>
                      <a:off x="0" y="0"/>
                      <a:ext cx="5276800" cy="2451653"/>
                    </a:xfrm>
                    <a:prstGeom prst="rect">
                      <a:avLst/>
                    </a:prstGeom>
                  </pic:spPr>
                </pic:pic>
              </a:graphicData>
            </a:graphic>
          </wp:inline>
        </w:drawing>
      </w:r>
    </w:p>
    <w:p w14:paraId="599DAE0C">
      <w:pPr>
        <w:shd w:val="clear" w:color="auto" w:fill="auto"/>
        <w:spacing w:line="360" w:lineRule="auto"/>
        <w:jc w:val="left"/>
        <w:textAlignment w:val="center"/>
        <w:rPr>
          <w:sz w:val="21"/>
        </w:rPr>
      </w:pPr>
      <w:r>
        <w:rPr>
          <w:sz w:val="21"/>
        </w:rPr>
        <w:t>回答下列问题：</w:t>
      </w:r>
    </w:p>
    <w:p w14:paraId="2DBBA165">
      <w:pPr>
        <w:shd w:val="clear" w:color="auto" w:fill="auto"/>
        <w:spacing w:line="360" w:lineRule="auto"/>
        <w:jc w:val="left"/>
        <w:textAlignment w:val="center"/>
        <w:rPr>
          <w:sz w:val="21"/>
        </w:rPr>
      </w:pPr>
      <w:r>
        <w:rPr>
          <w:sz w:val="21"/>
        </w:rPr>
        <w:t>(1)小鼠A从亲本一方获得一个Pkd1突变基因（P</w:t>
      </w:r>
      <w:r>
        <w:rPr>
          <w:sz w:val="21"/>
          <w:vertAlign w:val="superscript"/>
        </w:rPr>
        <w:t>-</w:t>
      </w:r>
      <w:r>
        <w:rPr>
          <w:sz w:val="21"/>
        </w:rPr>
        <w:t>），其在肾脏体细胞中表达后会使细胞中另一个正常的等位基因也突变为P</w:t>
      </w:r>
      <w:r>
        <w:rPr>
          <w:sz w:val="21"/>
          <w:vertAlign w:val="superscript"/>
        </w:rPr>
        <w:t>-</w:t>
      </w:r>
      <w:r>
        <w:rPr>
          <w:sz w:val="21"/>
        </w:rPr>
        <w:t>，这种“二次打击”可使细胞过度增殖，引起肾囊肿。据此推测多囊肾病属于常染色体</w:t>
      </w:r>
      <w:r>
        <w:rPr>
          <w:rFonts w:ascii="Times New Roman" w:hAnsi="Times New Roman" w:eastAsia="Times New Roman" w:cs="Times New Roman"/>
          <w:b w:val="0"/>
          <w:sz w:val="21"/>
        </w:rPr>
        <w:t>______</w:t>
      </w:r>
      <w:r>
        <w:rPr>
          <w:sz w:val="21"/>
        </w:rPr>
        <w:t>性（填“显”或“隐”）遗传病。“二次打击”可发生在发育的任何时间、任何一个肾脏细胞，说明基因突变具有</w:t>
      </w:r>
      <w:r>
        <w:rPr>
          <w:rFonts w:ascii="Times New Roman" w:hAnsi="Times New Roman" w:eastAsia="Times New Roman" w:cs="Times New Roman"/>
          <w:b w:val="0"/>
          <w:sz w:val="21"/>
        </w:rPr>
        <w:t>_____</w:t>
      </w:r>
      <w:r>
        <w:rPr>
          <w:sz w:val="21"/>
        </w:rPr>
        <w:t>性。</w:t>
      </w:r>
    </w:p>
    <w:p w14:paraId="09D2884F">
      <w:pPr>
        <w:shd w:val="clear" w:color="auto" w:fill="auto"/>
        <w:spacing w:line="360" w:lineRule="auto"/>
        <w:jc w:val="left"/>
        <w:textAlignment w:val="center"/>
        <w:rPr>
          <w:sz w:val="21"/>
        </w:rPr>
      </w:pPr>
      <w:r>
        <w:rPr>
          <w:sz w:val="21"/>
        </w:rPr>
        <w:t>(2)将噬菌体的C基因导入正常小鼠的17号染色体获得小鼠B，C基因能在小鼠肾脏体细胞中特异性表达并删除P基因，被敲除成对P基因的细胞也会过度增殖。小鼠B与小鼠A杂交得到F</w:t>
      </w:r>
      <w:r>
        <w:rPr>
          <w:sz w:val="21"/>
          <w:vertAlign w:val="subscript"/>
        </w:rPr>
        <w:t>1</w:t>
      </w:r>
      <w:r>
        <w:rPr>
          <w:sz w:val="21"/>
        </w:rPr>
        <w:t>，若F</w:t>
      </w:r>
      <w:r>
        <w:rPr>
          <w:sz w:val="21"/>
          <w:vertAlign w:val="subscript"/>
        </w:rPr>
        <w:t>1</w:t>
      </w:r>
      <w:r>
        <w:rPr>
          <w:sz w:val="21"/>
        </w:rPr>
        <w:t>中多囊肾小鼠占</w:t>
      </w:r>
      <w:r>
        <w:rPr>
          <w:rFonts w:ascii="Times New Roman" w:hAnsi="Times New Roman" w:eastAsia="Times New Roman" w:cs="Times New Roman"/>
          <w:b w:val="0"/>
          <w:sz w:val="21"/>
        </w:rPr>
        <w:t>___</w:t>
      </w:r>
      <w:r>
        <w:rPr>
          <w:rFonts w:ascii="Times New Roman" w:hAnsi="Times New Roman" w:eastAsia="Times New Roman" w:cs="Times New Roman"/>
          <w:b w:val="0"/>
          <w:sz w:val="21"/>
          <w:u w:val="single"/>
        </w:rPr>
        <w:t>_</w:t>
      </w:r>
      <w:r>
        <w:rPr>
          <w:rFonts w:hint="eastAsia" w:cs="Times New Roman"/>
          <w:b w:val="0"/>
          <w:sz w:val="21"/>
          <w:u w:val="single"/>
          <w:lang w:val="en-US" w:eastAsia="zh-CN"/>
        </w:rPr>
        <w:t xml:space="preserve">   </w:t>
      </w:r>
      <w:r>
        <w:rPr>
          <w:rFonts w:ascii="Times New Roman" w:hAnsi="Times New Roman" w:eastAsia="Times New Roman" w:cs="Times New Roman"/>
          <w:b w:val="0"/>
          <w:sz w:val="21"/>
        </w:rPr>
        <w:t>_</w:t>
      </w:r>
      <w:r>
        <w:rPr>
          <w:sz w:val="21"/>
        </w:rPr>
        <w:t>，说明C基因仅插在一条染色体上；若F</w:t>
      </w:r>
      <w:r>
        <w:rPr>
          <w:sz w:val="21"/>
          <w:vertAlign w:val="subscript"/>
        </w:rPr>
        <w:t>1</w:t>
      </w:r>
      <w:r>
        <w:rPr>
          <w:sz w:val="21"/>
        </w:rPr>
        <w:t>中多囊肾小鼠占</w:t>
      </w:r>
      <w:r>
        <w:rPr>
          <w:rFonts w:ascii="Times New Roman" w:hAnsi="Times New Roman" w:eastAsia="Times New Roman" w:cs="Times New Roman"/>
          <w:b w:val="0"/>
          <w:sz w:val="21"/>
        </w:rPr>
        <w:t>____</w:t>
      </w:r>
      <w:r>
        <w:rPr>
          <w:rFonts w:ascii="Times New Roman" w:hAnsi="Times New Roman" w:eastAsia="Times New Roman" w:cs="Times New Roman"/>
          <w:b w:val="0"/>
          <w:sz w:val="21"/>
          <w:u w:val="single"/>
        </w:rPr>
        <w:t>_</w:t>
      </w:r>
      <w:r>
        <w:rPr>
          <w:rFonts w:hint="eastAsia" w:cs="Times New Roman"/>
          <w:b w:val="0"/>
          <w:sz w:val="21"/>
          <w:u w:val="single"/>
          <w:lang w:val="en-US" w:eastAsia="zh-CN"/>
        </w:rPr>
        <w:t xml:space="preserve">    </w:t>
      </w:r>
      <w:r>
        <w:rPr>
          <w:sz w:val="21"/>
        </w:rPr>
        <w:t>，则小鼠B可作为多囊肾模型鼠（图6a）。</w:t>
      </w:r>
    </w:p>
    <w:p w14:paraId="6485D62B">
      <w:pPr>
        <w:shd w:val="clear" w:color="auto" w:fill="auto"/>
        <w:spacing w:line="360" w:lineRule="auto"/>
        <w:jc w:val="left"/>
        <w:textAlignment w:val="center"/>
        <w:rPr>
          <w:sz w:val="21"/>
        </w:rPr>
      </w:pPr>
      <w:r>
        <w:rPr>
          <w:sz w:val="21"/>
        </w:rPr>
        <w:t>(3)利用EMU（一种化学诱变剂）诱导模型鼠G</w:t>
      </w:r>
      <w:r>
        <w:rPr>
          <w:sz w:val="21"/>
          <w:vertAlign w:val="subscript"/>
        </w:rPr>
        <w:t>0</w:t>
      </w:r>
      <w:r>
        <w:rPr>
          <w:sz w:val="21"/>
        </w:rPr>
        <w:t>发生随机突变，筛选获得一只含突变基因m的潜在突变体G</w:t>
      </w:r>
      <w:r>
        <w:rPr>
          <w:sz w:val="21"/>
          <w:vertAlign w:val="subscript"/>
        </w:rPr>
        <w:t>1</w:t>
      </w:r>
      <w:r>
        <w:rPr>
          <w:sz w:val="21"/>
        </w:rPr>
        <w:t>，将其按照图6b过程进行遗传筛选，获得肾生长正常的突变体G</w:t>
      </w:r>
      <w:r>
        <w:rPr>
          <w:sz w:val="21"/>
          <w:vertAlign w:val="subscript"/>
        </w:rPr>
        <w:t>5.</w:t>
      </w:r>
    </w:p>
    <w:p w14:paraId="7E54152D">
      <w:pPr>
        <w:shd w:val="clear" w:color="auto" w:fill="auto"/>
        <w:spacing w:line="360" w:lineRule="auto"/>
        <w:jc w:val="left"/>
        <w:textAlignment w:val="center"/>
        <w:rPr>
          <w:sz w:val="21"/>
        </w:rPr>
      </w:pPr>
      <w:r>
        <w:rPr>
          <w:sz w:val="21"/>
        </w:rPr>
        <w:t>①图中G</w:t>
      </w:r>
      <w:r>
        <w:rPr>
          <w:sz w:val="21"/>
          <w:vertAlign w:val="subscript"/>
        </w:rPr>
        <w:t>1</w:t>
      </w:r>
      <w:r>
        <w:rPr>
          <w:sz w:val="21"/>
        </w:rPr>
        <w:t>与G</w:t>
      </w:r>
      <w:r>
        <w:rPr>
          <w:sz w:val="21"/>
          <w:vertAlign w:val="subscript"/>
        </w:rPr>
        <w:t>2</w:t>
      </w:r>
      <w:r>
        <w:rPr>
          <w:sz w:val="21"/>
        </w:rPr>
        <w:t>进行杂交的目的是获得一只</w:t>
      </w:r>
      <w:r>
        <w:rPr>
          <w:rFonts w:ascii="Times New Roman" w:hAnsi="Times New Roman" w:eastAsia="Times New Roman" w:cs="Times New Roman"/>
          <w:b w:val="0"/>
          <w:sz w:val="21"/>
        </w:rPr>
        <w:t>__</w:t>
      </w:r>
      <w:r>
        <w:rPr>
          <w:rFonts w:ascii="Times New Roman" w:hAnsi="Times New Roman" w:eastAsia="Times New Roman" w:cs="Times New Roman"/>
          <w:b w:val="0"/>
          <w:sz w:val="21"/>
          <w:u w:val="single"/>
        </w:rPr>
        <w:t>_</w:t>
      </w:r>
      <w:r>
        <w:rPr>
          <w:rFonts w:hint="eastAsia" w:cs="Times New Roman"/>
          <w:b w:val="0"/>
          <w:sz w:val="21"/>
          <w:u w:val="single"/>
          <w:lang w:val="en-US" w:eastAsia="zh-CN"/>
        </w:rPr>
        <w:t xml:space="preserve">      </w:t>
      </w:r>
      <w:r>
        <w:rPr>
          <w:rFonts w:ascii="Times New Roman" w:hAnsi="Times New Roman" w:eastAsia="Times New Roman" w:cs="Times New Roman"/>
          <w:b w:val="0"/>
          <w:sz w:val="21"/>
        </w:rPr>
        <w:t>_</w:t>
      </w:r>
      <w:r>
        <w:rPr>
          <w:sz w:val="21"/>
        </w:rPr>
        <w:t>的G</w:t>
      </w:r>
      <w:r>
        <w:rPr>
          <w:sz w:val="21"/>
          <w:vertAlign w:val="subscript"/>
        </w:rPr>
        <w:t>3</w:t>
      </w:r>
      <w:r>
        <w:rPr>
          <w:sz w:val="21"/>
        </w:rPr>
        <w:t>，从而培育出G</w:t>
      </w:r>
      <w:r>
        <w:rPr>
          <w:sz w:val="21"/>
          <w:vertAlign w:val="subscript"/>
        </w:rPr>
        <w:t>5.</w:t>
      </w:r>
    </w:p>
    <w:p w14:paraId="3838646F">
      <w:pPr>
        <w:shd w:val="clear" w:color="auto" w:fill="auto"/>
        <w:spacing w:line="360" w:lineRule="auto"/>
        <w:jc w:val="left"/>
        <w:textAlignment w:val="center"/>
        <w:rPr>
          <w:sz w:val="21"/>
        </w:rPr>
      </w:pPr>
      <w:r>
        <w:rPr>
          <w:sz w:val="21"/>
        </w:rPr>
        <w:t>②为确定突变基因m的位置，选用15、17号染色体上高度保守的DNA序列作为分子标记，对G</w:t>
      </w:r>
      <w:r>
        <w:rPr>
          <w:sz w:val="21"/>
          <w:vertAlign w:val="subscript"/>
        </w:rPr>
        <w:t>1</w:t>
      </w:r>
      <w:r>
        <w:rPr>
          <w:sz w:val="21"/>
        </w:rPr>
        <w:t>和G</w:t>
      </w:r>
      <w:r>
        <w:rPr>
          <w:sz w:val="21"/>
          <w:vertAlign w:val="subscript"/>
        </w:rPr>
        <w:t>3</w:t>
      </w:r>
      <w:r>
        <w:rPr>
          <w:sz w:val="21"/>
        </w:rPr>
        <w:t>杂交产生的20只肾正常小鼠进行遗传分析，结果见下表。据表推测突变基因最可能位于</w:t>
      </w:r>
      <w:r>
        <w:rPr>
          <w:rFonts w:ascii="Times New Roman" w:hAnsi="Times New Roman" w:eastAsia="Times New Roman" w:cs="Times New Roman"/>
          <w:b w:val="0"/>
          <w:sz w:val="21"/>
        </w:rPr>
        <w:t>____</w:t>
      </w:r>
      <w:r>
        <w:rPr>
          <w:sz w:val="21"/>
        </w:rPr>
        <w:t>位置附近。</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5"/>
        <w:gridCol w:w="1115"/>
        <w:gridCol w:w="1184"/>
        <w:gridCol w:w="1254"/>
        <w:gridCol w:w="1184"/>
        <w:gridCol w:w="1248"/>
        <w:gridCol w:w="1255"/>
      </w:tblGrid>
      <w:tr w14:paraId="1EFC0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B05538">
            <w:pPr>
              <w:shd w:val="clear" w:color="auto" w:fill="auto"/>
              <w:spacing w:line="360" w:lineRule="auto"/>
              <w:jc w:val="left"/>
              <w:textAlignment w:val="center"/>
              <w:rPr>
                <w:sz w:val="21"/>
              </w:rPr>
            </w:pPr>
            <w:r>
              <w:rPr>
                <w:sz w:val="21"/>
              </w:rPr>
              <w:t>分子标记</w:t>
            </w:r>
          </w:p>
        </w:tc>
        <w:tc>
          <w:tcPr>
            <w:tcW w:w="2250" w:type="dxa"/>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31C316">
            <w:pPr>
              <w:shd w:val="clear" w:color="auto" w:fill="auto"/>
              <w:spacing w:line="360" w:lineRule="auto"/>
              <w:jc w:val="left"/>
              <w:textAlignment w:val="center"/>
              <w:rPr>
                <w:sz w:val="21"/>
              </w:rPr>
            </w:pPr>
            <w:r>
              <w:rPr>
                <w:sz w:val="21"/>
              </w:rPr>
              <w:t>15号染色体</w:t>
            </w:r>
          </w:p>
        </w:tc>
        <w:tc>
          <w:tcPr>
            <w:tcW w:w="2250" w:type="dxa"/>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66EB2C">
            <w:pPr>
              <w:shd w:val="clear" w:color="auto" w:fill="auto"/>
              <w:spacing w:line="360" w:lineRule="auto"/>
              <w:jc w:val="left"/>
              <w:textAlignment w:val="center"/>
              <w:rPr>
                <w:sz w:val="21"/>
              </w:rPr>
            </w:pPr>
            <w:r>
              <w:rPr>
                <w:sz w:val="21"/>
              </w:rPr>
              <w:t>17号染色体</w:t>
            </w:r>
          </w:p>
        </w:tc>
      </w:tr>
      <w:tr w14:paraId="59E2A4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48EB6495">
            <w:pPr>
              <w:shd w:val="clear" w:color="auto" w:fill="auto"/>
              <w:spacing w:line="360" w:lineRule="auto"/>
              <w:jc w:val="left"/>
              <w:textAlignment w:val="center"/>
              <w:rPr>
                <w:sz w:val="21"/>
              </w:rPr>
            </w:pP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58F988">
            <w:pPr>
              <w:shd w:val="clear" w:color="auto" w:fill="auto"/>
              <w:spacing w:line="360" w:lineRule="auto"/>
              <w:jc w:val="left"/>
              <w:textAlignment w:val="center"/>
              <w:rPr>
                <w:sz w:val="21"/>
              </w:rPr>
            </w:pPr>
            <w:r>
              <w:rPr>
                <w:sz w:val="21"/>
              </w:rPr>
              <w:t>M5</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5DAABE">
            <w:pPr>
              <w:shd w:val="clear" w:color="auto" w:fill="auto"/>
              <w:spacing w:line="360" w:lineRule="auto"/>
              <w:jc w:val="left"/>
              <w:textAlignment w:val="center"/>
              <w:rPr>
                <w:sz w:val="21"/>
              </w:rPr>
            </w:pPr>
            <w:r>
              <w:rPr>
                <w:sz w:val="21"/>
              </w:rPr>
              <w:t>M65</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F742C8">
            <w:pPr>
              <w:shd w:val="clear" w:color="auto" w:fill="auto"/>
              <w:spacing w:line="360" w:lineRule="auto"/>
              <w:jc w:val="left"/>
              <w:textAlignment w:val="center"/>
              <w:rPr>
                <w:sz w:val="21"/>
              </w:rPr>
            </w:pPr>
            <w:r>
              <w:rPr>
                <w:sz w:val="21"/>
              </w:rPr>
              <w:t>M246</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747478">
            <w:pPr>
              <w:shd w:val="clear" w:color="auto" w:fill="auto"/>
              <w:spacing w:line="360" w:lineRule="auto"/>
              <w:jc w:val="left"/>
              <w:textAlignment w:val="center"/>
              <w:rPr>
                <w:sz w:val="21"/>
              </w:rPr>
            </w:pPr>
            <w:r>
              <w:rPr>
                <w:sz w:val="21"/>
              </w:rPr>
              <w:t>M46</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A523F5">
            <w:pPr>
              <w:shd w:val="clear" w:color="auto" w:fill="auto"/>
              <w:spacing w:line="360" w:lineRule="auto"/>
              <w:jc w:val="left"/>
              <w:textAlignment w:val="center"/>
              <w:rPr>
                <w:sz w:val="21"/>
              </w:rPr>
            </w:pPr>
            <w:r>
              <w:rPr>
                <w:sz w:val="21"/>
              </w:rPr>
              <w:t>M113</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775148">
            <w:pPr>
              <w:shd w:val="clear" w:color="auto" w:fill="auto"/>
              <w:spacing w:line="360" w:lineRule="auto"/>
              <w:jc w:val="left"/>
              <w:textAlignment w:val="center"/>
              <w:rPr>
                <w:sz w:val="21"/>
              </w:rPr>
            </w:pPr>
            <w:r>
              <w:rPr>
                <w:sz w:val="21"/>
              </w:rPr>
              <w:t>M143</w:t>
            </w:r>
          </w:p>
        </w:tc>
      </w:tr>
      <w:tr w14:paraId="3A032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C29870">
            <w:pPr>
              <w:shd w:val="clear" w:color="auto" w:fill="auto"/>
              <w:spacing w:line="360" w:lineRule="auto"/>
              <w:jc w:val="left"/>
              <w:textAlignment w:val="center"/>
              <w:rPr>
                <w:sz w:val="21"/>
              </w:rPr>
            </w:pPr>
            <w:r>
              <w:rPr>
                <w:sz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E77758">
            <w:pPr>
              <w:shd w:val="clear" w:color="auto" w:fill="auto"/>
              <w:spacing w:line="360" w:lineRule="auto"/>
              <w:jc w:val="left"/>
              <w:textAlignment w:val="center"/>
              <w:rPr>
                <w:sz w:val="21"/>
              </w:rPr>
            </w:pPr>
            <w:r>
              <w:rPr>
                <w:sz w:val="21"/>
              </w:rPr>
              <w:t>12</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94632F">
            <w:pPr>
              <w:shd w:val="clear" w:color="auto" w:fill="auto"/>
              <w:spacing w:line="360" w:lineRule="auto"/>
              <w:jc w:val="left"/>
              <w:textAlignment w:val="center"/>
              <w:rPr>
                <w:sz w:val="21"/>
              </w:rPr>
            </w:pPr>
            <w:r>
              <w:rPr>
                <w:sz w:val="21"/>
              </w:rPr>
              <w:t>10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65B3B7">
            <w:pPr>
              <w:shd w:val="clear" w:color="auto" w:fill="auto"/>
              <w:spacing w:line="360" w:lineRule="auto"/>
              <w:jc w:val="left"/>
              <w:textAlignment w:val="center"/>
              <w:rPr>
                <w:sz w:val="21"/>
              </w:rPr>
            </w:pPr>
            <w:r>
              <w:rPr>
                <w:sz w:val="21"/>
              </w:rPr>
              <w:t>9</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38D3BA">
            <w:pPr>
              <w:shd w:val="clear" w:color="auto" w:fill="auto"/>
              <w:spacing w:line="360" w:lineRule="auto"/>
              <w:jc w:val="left"/>
              <w:textAlignment w:val="center"/>
              <w:rPr>
                <w:sz w:val="21"/>
              </w:rPr>
            </w:pPr>
            <w:r>
              <w:rPr>
                <w:sz w:val="21"/>
              </w:rPr>
              <w:t>20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1468D6">
            <w:pPr>
              <w:shd w:val="clear" w:color="auto" w:fill="auto"/>
              <w:spacing w:line="360" w:lineRule="auto"/>
              <w:jc w:val="left"/>
              <w:textAlignment w:val="center"/>
              <w:rPr>
                <w:sz w:val="21"/>
              </w:rPr>
            </w:pPr>
            <w:r>
              <w:rPr>
                <w:sz w:val="21"/>
              </w:rPr>
              <w:t>18</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BAC441">
            <w:pPr>
              <w:shd w:val="clear" w:color="auto" w:fill="auto"/>
              <w:spacing w:line="360" w:lineRule="auto"/>
              <w:jc w:val="left"/>
              <w:textAlignment w:val="center"/>
              <w:rPr>
                <w:sz w:val="21"/>
              </w:rPr>
            </w:pPr>
            <w:r>
              <w:rPr>
                <w:sz w:val="21"/>
              </w:rPr>
              <w:t>16</w:t>
            </w:r>
          </w:p>
        </w:tc>
      </w:tr>
      <w:tr w14:paraId="75056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402425">
            <w:pPr>
              <w:shd w:val="clear" w:color="auto" w:fill="auto"/>
              <w:spacing w:line="360" w:lineRule="auto"/>
              <w:jc w:val="left"/>
              <w:textAlignment w:val="center"/>
              <w:rPr>
                <w:sz w:val="21"/>
              </w:rPr>
            </w:pPr>
            <w:r>
              <w:rPr>
                <w:sz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51DD1F">
            <w:pPr>
              <w:shd w:val="clear" w:color="auto" w:fill="auto"/>
              <w:spacing w:line="360" w:lineRule="auto"/>
              <w:jc w:val="left"/>
              <w:textAlignment w:val="center"/>
              <w:rPr>
                <w:sz w:val="21"/>
              </w:rPr>
            </w:pPr>
            <w:r>
              <w:rPr>
                <w:sz w:val="21"/>
              </w:rPr>
              <w:t>8</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00A2AB">
            <w:pPr>
              <w:shd w:val="clear" w:color="auto" w:fill="auto"/>
              <w:spacing w:line="360" w:lineRule="auto"/>
              <w:jc w:val="left"/>
              <w:textAlignment w:val="center"/>
              <w:rPr>
                <w:sz w:val="21"/>
              </w:rPr>
            </w:pPr>
            <w:r>
              <w:rPr>
                <w:sz w:val="21"/>
              </w:rPr>
              <w:t>10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8F575D">
            <w:pPr>
              <w:shd w:val="clear" w:color="auto" w:fill="auto"/>
              <w:spacing w:line="360" w:lineRule="auto"/>
              <w:jc w:val="left"/>
              <w:textAlignment w:val="center"/>
              <w:rPr>
                <w:sz w:val="21"/>
              </w:rPr>
            </w:pPr>
            <w:r>
              <w:rPr>
                <w:sz w:val="21"/>
              </w:rPr>
              <w:t>11</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0853A1">
            <w:pPr>
              <w:shd w:val="clear" w:color="auto" w:fill="auto"/>
              <w:spacing w:line="360" w:lineRule="auto"/>
              <w:jc w:val="left"/>
              <w:textAlignment w:val="center"/>
              <w:rPr>
                <w:sz w:val="21"/>
              </w:rPr>
            </w:pPr>
            <w:r>
              <w:rPr>
                <w:sz w:val="21"/>
              </w:rPr>
              <w:t>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9082A9">
            <w:pPr>
              <w:shd w:val="clear" w:color="auto" w:fill="auto"/>
              <w:spacing w:line="360" w:lineRule="auto"/>
              <w:jc w:val="left"/>
              <w:textAlignment w:val="center"/>
              <w:rPr>
                <w:sz w:val="21"/>
              </w:rPr>
            </w:pPr>
            <w:r>
              <w:rPr>
                <w:sz w:val="21"/>
              </w:rPr>
              <w:t>2</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8C3735">
            <w:pPr>
              <w:shd w:val="clear" w:color="auto" w:fill="auto"/>
              <w:spacing w:line="360" w:lineRule="auto"/>
              <w:jc w:val="left"/>
              <w:textAlignment w:val="center"/>
              <w:rPr>
                <w:sz w:val="21"/>
              </w:rPr>
            </w:pPr>
            <w:r>
              <w:rPr>
                <w:sz w:val="21"/>
              </w:rPr>
              <w:t>4</w:t>
            </w:r>
          </w:p>
        </w:tc>
      </w:tr>
    </w:tbl>
    <w:p w14:paraId="3A98D047">
      <w:pPr>
        <w:shd w:val="clear" w:color="auto" w:fill="auto"/>
        <w:spacing w:line="360" w:lineRule="auto"/>
        <w:jc w:val="left"/>
        <w:textAlignment w:val="center"/>
        <w:rPr>
          <w:sz w:val="21"/>
        </w:rPr>
      </w:pPr>
      <w:r>
        <w:rPr>
          <w:sz w:val="21"/>
        </w:rPr>
        <w:t>注：“+”表示分子标记均来自G</w:t>
      </w:r>
      <w:r>
        <w:rPr>
          <w:sz w:val="21"/>
          <w:vertAlign w:val="subscript"/>
        </w:rPr>
        <w:t>1</w:t>
      </w:r>
      <w:r>
        <w:rPr>
          <w:sz w:val="21"/>
        </w:rPr>
        <w:t>；“+/-”表示分子标记来自G</w:t>
      </w:r>
      <w:r>
        <w:rPr>
          <w:sz w:val="21"/>
          <w:vertAlign w:val="subscript"/>
        </w:rPr>
        <w:t>1</w:t>
      </w:r>
      <w:r>
        <w:rPr>
          <w:sz w:val="21"/>
        </w:rPr>
        <w:t>和G2；</w:t>
      </w:r>
    </w:p>
    <w:p w14:paraId="4C831ECB">
      <w:pPr>
        <w:shd w:val="clear" w:color="auto" w:fill="auto"/>
        <w:spacing w:line="360" w:lineRule="auto"/>
        <w:jc w:val="left"/>
        <w:textAlignment w:val="center"/>
        <w:rPr>
          <w:sz w:val="21"/>
        </w:rPr>
      </w:pPr>
      <w:r>
        <w:rPr>
          <w:sz w:val="21"/>
        </w:rPr>
        <w:t>M5、M65、M246为对应染色体上分子标记的名称；数字为小鼠个体数。</w:t>
      </w:r>
    </w:p>
    <w:p w14:paraId="01B48B5F">
      <w:pPr>
        <w:shd w:val="clear" w:color="auto" w:fill="auto"/>
        <w:spacing w:line="360" w:lineRule="auto"/>
        <w:jc w:val="left"/>
        <w:textAlignment w:val="center"/>
        <w:rPr>
          <w:sz w:val="21"/>
        </w:rPr>
      </w:pPr>
      <w:r>
        <w:rPr>
          <w:sz w:val="21"/>
        </w:rPr>
        <w:t>(4)科研人员利用基因工程技术对肾囊肿小鼠A进行病后干预，将其肾脏中的基因M替换成突变基因m，培育6周后囊肿“逆转”，肾脏结构和功能恢复正常。从调控细胞生命历程的角度分析，m基因的作用是</w:t>
      </w:r>
      <w:r>
        <w:rPr>
          <w:rFonts w:ascii="Times New Roman" w:hAnsi="Times New Roman" w:eastAsia="Times New Roman" w:cs="Times New Roman"/>
          <w:b w:val="0"/>
          <w:sz w:val="21"/>
        </w:rPr>
        <w:t>____</w:t>
      </w:r>
      <w:r>
        <w:rPr>
          <w:rFonts w:hint="eastAsia" w:cs="Times New Roman"/>
          <w:b w:val="0"/>
          <w:sz w:val="21"/>
          <w:u w:val="single"/>
          <w:lang w:val="en-US" w:eastAsia="zh-CN"/>
        </w:rPr>
        <w:t xml:space="preserve">                                                   </w:t>
      </w:r>
      <w:r>
        <w:rPr>
          <w:sz w:val="21"/>
        </w:rPr>
        <w:t>。</w:t>
      </w:r>
    </w:p>
    <w:p w14:paraId="6B2811BA">
      <w:pPr>
        <w:shd w:val="clear" w:color="auto" w:fill="auto"/>
        <w:spacing w:line="360" w:lineRule="auto"/>
        <w:jc w:val="left"/>
        <w:textAlignment w:val="center"/>
        <w:rPr>
          <w:sz w:val="21"/>
        </w:rPr>
      </w:pPr>
      <w:r>
        <w:rPr>
          <w:sz w:val="21"/>
        </w:rPr>
        <w:t>20．颈部引流淋巴结（TDLNs）中的细胞毒性T细胞（CTL）等细胞能迁移至口腔癌组织中，参与抗肿瘤免疫应答过程。口腔癌组织中舌部伤害神经元的激活会驱动癌痛发生和免疫逃逸。研究人员推测，口腔癌细胞可能通过伤害神经元介导的神经通路对TDLNs实施免疫调控。</w:t>
      </w:r>
    </w:p>
    <w:p w14:paraId="11E3C2EF">
      <w:pPr>
        <w:shd w:val="clear" w:color="auto" w:fill="auto"/>
        <w:spacing w:line="360" w:lineRule="auto"/>
        <w:jc w:val="left"/>
        <w:textAlignment w:val="center"/>
        <w:rPr>
          <w:sz w:val="21"/>
        </w:rPr>
      </w:pPr>
      <w:r>
        <w:rPr>
          <w:sz w:val="21"/>
        </w:rPr>
        <w:t>回答下列问题：</w:t>
      </w:r>
    </w:p>
    <w:p w14:paraId="222D3775">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124200" cy="2886075"/>
            <wp:effectExtent l="0" t="0" r="0" b="9525"/>
            <wp:docPr id="100015" name="图片 100015" descr="@@@1f63e4a1-9a3a-495a-a607-ac8b40e1d3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1f63e4a1-9a3a-495a-a607-ac8b40e1d3a5"/>
                    <pic:cNvPicPr>
                      <a:picLocks noChangeAspect="1"/>
                    </pic:cNvPicPr>
                  </pic:nvPicPr>
                  <pic:blipFill>
                    <a:blip r:embed="rId16"/>
                    <a:stretch>
                      <a:fillRect/>
                    </a:stretch>
                  </pic:blipFill>
                  <pic:spPr>
                    <a:xfrm>
                      <a:off x="0" y="0"/>
                      <a:ext cx="3124200" cy="2886075"/>
                    </a:xfrm>
                    <a:prstGeom prst="rect">
                      <a:avLst/>
                    </a:prstGeom>
                  </pic:spPr>
                </pic:pic>
              </a:graphicData>
            </a:graphic>
          </wp:inline>
        </w:drawing>
      </w:r>
    </w:p>
    <w:p w14:paraId="6F834A4D">
      <w:pPr>
        <w:shd w:val="clear" w:color="auto" w:fill="auto"/>
        <w:spacing w:line="360" w:lineRule="auto"/>
        <w:jc w:val="left"/>
        <w:textAlignment w:val="center"/>
        <w:rPr>
          <w:sz w:val="21"/>
        </w:rPr>
      </w:pPr>
      <w:r>
        <w:rPr>
          <w:sz w:val="21"/>
        </w:rPr>
        <w:t>(1)迁移到口腔的CTL细胞可识别并裂解口腔癌细胞，这体现了免疫系统的</w:t>
      </w:r>
      <w:r>
        <w:rPr>
          <w:rFonts w:ascii="Times New Roman" w:hAnsi="Times New Roman" w:eastAsia="Times New Roman" w:cs="Times New Roman"/>
          <w:b w:val="0"/>
          <w:sz w:val="21"/>
        </w:rPr>
        <w:t>_______</w:t>
      </w:r>
      <w:r>
        <w:rPr>
          <w:sz w:val="21"/>
        </w:rPr>
        <w:t>功能。遭受免疫攻击时，口腔癌细胞分泌信号分子SLIT2作用于舌部伤害神经元上的</w:t>
      </w:r>
      <w:r>
        <w:rPr>
          <w:rFonts w:ascii="Times New Roman" w:hAnsi="Times New Roman" w:eastAsia="Times New Roman" w:cs="Times New Roman"/>
          <w:b w:val="0"/>
          <w:sz w:val="21"/>
        </w:rPr>
        <w:t>_________</w:t>
      </w:r>
      <w:r>
        <w:rPr>
          <w:sz w:val="21"/>
        </w:rPr>
        <w:t>，舌部伤害神经元兴奋，最终在大脑皮层产生痛觉。</w:t>
      </w:r>
    </w:p>
    <w:p w14:paraId="7E0DB4D7">
      <w:pPr>
        <w:shd w:val="clear" w:color="auto" w:fill="auto"/>
        <w:spacing w:line="360" w:lineRule="auto"/>
        <w:jc w:val="left"/>
        <w:textAlignment w:val="center"/>
        <w:rPr>
          <w:sz w:val="21"/>
        </w:rPr>
      </w:pPr>
      <w:r>
        <w:rPr>
          <w:sz w:val="21"/>
        </w:rPr>
        <w:t>(2)为探究口腔癌细胞调控TDLNs的神经通路，研究人员构建了可被蓝光特异性激活伤害神经元的模型鼠。据图所示实验推测，该神经调控路径为：口腔癌细胞→</w:t>
      </w:r>
      <w:r>
        <w:rPr>
          <w:rFonts w:ascii="Times New Roman" w:hAnsi="Times New Roman" w:eastAsia="Times New Roman" w:cs="Times New Roman"/>
          <w:b w:val="0"/>
          <w:sz w:val="21"/>
        </w:rPr>
        <w:t>_______</w:t>
      </w:r>
      <w:r>
        <w:rPr>
          <w:sz w:val="21"/>
        </w:rPr>
        <w:t>→TDLNs。（用文字和箭头表示）。</w:t>
      </w:r>
    </w:p>
    <w:p w14:paraId="14546A66">
      <w:pPr>
        <w:shd w:val="clear" w:color="auto" w:fill="auto"/>
        <w:spacing w:line="360" w:lineRule="auto"/>
        <w:jc w:val="left"/>
        <w:textAlignment w:val="center"/>
        <w:rPr>
          <w:sz w:val="21"/>
        </w:rPr>
      </w:pPr>
      <w:r>
        <w:rPr>
          <w:sz w:val="21"/>
        </w:rPr>
        <w:t>(3)为进一步探究上述通路对口腔癌细胞躲避免疫系统的清除，实现免疫逃逸的影响，研究人员将正常小鼠分为三组，进行如下表的处理。</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70"/>
        <w:gridCol w:w="2114"/>
        <w:gridCol w:w="2070"/>
        <w:gridCol w:w="2071"/>
      </w:tblGrid>
      <w:tr w14:paraId="300C9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E6AB66">
            <w:pPr>
              <w:shd w:val="clear" w:color="auto" w:fill="auto"/>
              <w:spacing w:line="360" w:lineRule="auto"/>
              <w:jc w:val="left"/>
              <w:textAlignment w:val="center"/>
              <w:rPr>
                <w:sz w:val="21"/>
              </w:rPr>
            </w:pPr>
            <w:r>
              <w:rPr>
                <w:sz w:val="21"/>
              </w:rPr>
              <w:t>组别</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D03C75">
            <w:pPr>
              <w:shd w:val="clear" w:color="auto" w:fill="auto"/>
              <w:spacing w:line="360" w:lineRule="auto"/>
              <w:jc w:val="left"/>
              <w:textAlignment w:val="center"/>
              <w:rPr>
                <w:sz w:val="21"/>
              </w:rPr>
            </w:pPr>
            <w:r>
              <w:rPr>
                <w:sz w:val="21"/>
              </w:rPr>
              <w:t>移植前切除TDLNs</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C056F3">
            <w:pPr>
              <w:shd w:val="clear" w:color="auto" w:fill="auto"/>
              <w:spacing w:line="360" w:lineRule="auto"/>
              <w:jc w:val="left"/>
              <w:textAlignment w:val="center"/>
              <w:rPr>
                <w:sz w:val="21"/>
              </w:rPr>
            </w:pPr>
            <w:r>
              <w:rPr>
                <w:sz w:val="21"/>
              </w:rPr>
              <w:t>在舌部移植肿瘤细胞</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7952D6">
            <w:pPr>
              <w:shd w:val="clear" w:color="auto" w:fill="auto"/>
              <w:spacing w:line="360" w:lineRule="auto"/>
              <w:jc w:val="left"/>
              <w:textAlignment w:val="center"/>
              <w:rPr>
                <w:sz w:val="21"/>
              </w:rPr>
            </w:pPr>
            <w:r>
              <w:rPr>
                <w:sz w:val="21"/>
              </w:rPr>
              <w:t>树脂毒素处理</w:t>
            </w:r>
          </w:p>
        </w:tc>
      </w:tr>
      <w:tr w14:paraId="352AD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33BA41">
            <w:pPr>
              <w:shd w:val="clear" w:color="auto" w:fill="auto"/>
              <w:spacing w:line="360" w:lineRule="auto"/>
              <w:jc w:val="left"/>
              <w:textAlignment w:val="center"/>
              <w:rPr>
                <w:sz w:val="21"/>
              </w:rPr>
            </w:pPr>
            <w:r>
              <w:rPr>
                <w:sz w:val="21"/>
              </w:rPr>
              <w:t>甲</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167AAD">
            <w:pPr>
              <w:shd w:val="clear" w:color="auto" w:fill="auto"/>
              <w:spacing w:line="360" w:lineRule="auto"/>
              <w:jc w:val="left"/>
              <w:textAlignment w:val="center"/>
              <w:rPr>
                <w:sz w:val="21"/>
              </w:rPr>
            </w:pPr>
            <w:r>
              <w:rPr>
                <w:sz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AD9FBC">
            <w:pPr>
              <w:shd w:val="clear" w:color="auto" w:fill="auto"/>
              <w:spacing w:line="360" w:lineRule="auto"/>
              <w:jc w:val="left"/>
              <w:textAlignment w:val="center"/>
              <w:rPr>
                <w:sz w:val="21"/>
              </w:rPr>
            </w:pPr>
            <w:r>
              <w:rPr>
                <w:sz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3BAACD">
            <w:pPr>
              <w:shd w:val="clear" w:color="auto" w:fill="auto"/>
              <w:spacing w:line="360" w:lineRule="auto"/>
              <w:jc w:val="left"/>
              <w:textAlignment w:val="center"/>
              <w:rPr>
                <w:sz w:val="21"/>
              </w:rPr>
            </w:pPr>
            <w:r>
              <w:rPr>
                <w:sz w:val="21"/>
              </w:rPr>
              <w:t>-</w:t>
            </w:r>
          </w:p>
        </w:tc>
      </w:tr>
      <w:tr w14:paraId="6554A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658ECD">
            <w:pPr>
              <w:shd w:val="clear" w:color="auto" w:fill="auto"/>
              <w:spacing w:line="360" w:lineRule="auto"/>
              <w:jc w:val="left"/>
              <w:textAlignment w:val="center"/>
              <w:rPr>
                <w:sz w:val="21"/>
              </w:rPr>
            </w:pPr>
            <w:r>
              <w:rPr>
                <w:sz w:val="21"/>
              </w:rPr>
              <w:t>乙</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4DEBC5">
            <w:pPr>
              <w:shd w:val="clear" w:color="auto" w:fill="auto"/>
              <w:spacing w:line="360" w:lineRule="auto"/>
              <w:jc w:val="left"/>
              <w:textAlignment w:val="center"/>
              <w:rPr>
                <w:sz w:val="21"/>
              </w:rPr>
            </w:pPr>
            <w:r>
              <w:rPr>
                <w:sz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07096F">
            <w:pPr>
              <w:shd w:val="clear" w:color="auto" w:fill="auto"/>
              <w:spacing w:line="360" w:lineRule="auto"/>
              <w:jc w:val="left"/>
              <w:textAlignment w:val="center"/>
              <w:rPr>
                <w:sz w:val="21"/>
              </w:rPr>
            </w:pPr>
            <w:r>
              <w:rPr>
                <w:sz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387246">
            <w:pPr>
              <w:shd w:val="clear" w:color="auto" w:fill="auto"/>
              <w:spacing w:line="360" w:lineRule="auto"/>
              <w:jc w:val="left"/>
              <w:textAlignment w:val="center"/>
              <w:rPr>
                <w:sz w:val="21"/>
              </w:rPr>
            </w:pPr>
            <w:r>
              <w:rPr>
                <w:sz w:val="21"/>
              </w:rPr>
              <w:t>+</w:t>
            </w:r>
          </w:p>
        </w:tc>
      </w:tr>
      <w:tr w14:paraId="5B9BF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63D5C2">
            <w:pPr>
              <w:shd w:val="clear" w:color="auto" w:fill="auto"/>
              <w:spacing w:line="360" w:lineRule="auto"/>
              <w:jc w:val="left"/>
              <w:textAlignment w:val="center"/>
              <w:rPr>
                <w:sz w:val="21"/>
              </w:rPr>
            </w:pPr>
            <w:r>
              <w:rPr>
                <w:sz w:val="21"/>
              </w:rPr>
              <w:t>丙</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2DB908">
            <w:pPr>
              <w:shd w:val="clear" w:color="auto" w:fill="auto"/>
              <w:spacing w:line="360" w:lineRule="auto"/>
              <w:jc w:val="left"/>
              <w:textAlignment w:val="center"/>
              <w:rPr>
                <w:sz w:val="21"/>
              </w:rPr>
            </w:pPr>
            <w:r>
              <w:rPr>
                <w:sz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CBF8ED">
            <w:pPr>
              <w:shd w:val="clear" w:color="auto" w:fill="auto"/>
              <w:spacing w:line="360" w:lineRule="auto"/>
              <w:jc w:val="left"/>
              <w:textAlignment w:val="center"/>
              <w:rPr>
                <w:sz w:val="21"/>
              </w:rPr>
            </w:pPr>
            <w:r>
              <w:rPr>
                <w:sz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D36B05">
            <w:pPr>
              <w:shd w:val="clear" w:color="auto" w:fill="auto"/>
              <w:spacing w:line="360" w:lineRule="auto"/>
              <w:jc w:val="left"/>
              <w:textAlignment w:val="center"/>
              <w:rPr>
                <w:sz w:val="21"/>
              </w:rPr>
            </w:pPr>
            <w:r>
              <w:rPr>
                <w:sz w:val="21"/>
              </w:rPr>
              <w:t>+</w:t>
            </w:r>
          </w:p>
        </w:tc>
      </w:tr>
    </w:tbl>
    <w:p w14:paraId="25359EDA">
      <w:pPr>
        <w:shd w:val="clear" w:color="auto" w:fill="auto"/>
        <w:spacing w:line="360" w:lineRule="auto"/>
        <w:jc w:val="left"/>
        <w:textAlignment w:val="center"/>
        <w:rPr>
          <w:sz w:val="21"/>
        </w:rPr>
      </w:pPr>
      <w:r>
        <w:rPr>
          <w:sz w:val="21"/>
        </w:rPr>
        <w:t>注：树脂毒素处理使全身伤害神经元功能丧失；“+”表示有处理，“-”表示无处理。</w:t>
      </w:r>
    </w:p>
    <w:p w14:paraId="2FA7F052">
      <w:pPr>
        <w:shd w:val="clear" w:color="auto" w:fill="auto"/>
        <w:spacing w:line="360" w:lineRule="auto"/>
        <w:jc w:val="left"/>
        <w:textAlignment w:val="center"/>
        <w:rPr>
          <w:sz w:val="21"/>
        </w:rPr>
      </w:pPr>
      <w:r>
        <w:rPr>
          <w:sz w:val="21"/>
        </w:rPr>
        <w:t>①若观察到甲组的舌部移植瘤生长速度较乙组</w:t>
      </w:r>
      <w:r>
        <w:rPr>
          <w:rFonts w:ascii="Times New Roman" w:hAnsi="Times New Roman" w:eastAsia="Times New Roman" w:cs="Times New Roman"/>
          <w:b w:val="0"/>
          <w:sz w:val="21"/>
        </w:rPr>
        <w:t>_____</w:t>
      </w:r>
      <w:r>
        <w:rPr>
          <w:sz w:val="21"/>
        </w:rPr>
        <w:t>（“快”或“慢”），证明上述神经通路的激活促进了肿瘤的生长。</w:t>
      </w:r>
    </w:p>
    <w:p w14:paraId="3DDB909D">
      <w:pPr>
        <w:shd w:val="clear" w:color="auto" w:fill="auto"/>
        <w:spacing w:line="360" w:lineRule="auto"/>
        <w:jc w:val="left"/>
        <w:textAlignment w:val="center"/>
        <w:rPr>
          <w:sz w:val="21"/>
        </w:rPr>
      </w:pPr>
      <w:r>
        <w:rPr>
          <w:sz w:val="21"/>
        </w:rPr>
        <w:t>②已知伤害神经元激活后能产生CGRP（一种化学物质）参与免疫调控。研究人员对乙组小鼠进行</w:t>
      </w:r>
      <w:r>
        <w:rPr>
          <w:rFonts w:ascii="Times New Roman" w:hAnsi="Times New Roman" w:eastAsia="Times New Roman" w:cs="Times New Roman"/>
          <w:b w:val="0"/>
          <w:sz w:val="21"/>
        </w:rPr>
        <w:t>____</w:t>
      </w:r>
      <w:r>
        <w:rPr>
          <w:rFonts w:ascii="Times New Roman" w:hAnsi="Times New Roman" w:eastAsia="Times New Roman" w:cs="Times New Roman"/>
          <w:b w:val="0"/>
          <w:sz w:val="21"/>
          <w:u w:val="single"/>
        </w:rPr>
        <w:t>_</w:t>
      </w:r>
      <w:r>
        <w:rPr>
          <w:rFonts w:hint="eastAsia" w:cs="Times New Roman"/>
          <w:b w:val="0"/>
          <w:sz w:val="21"/>
          <w:u w:val="single"/>
          <w:lang w:val="en-US" w:eastAsia="zh-CN"/>
        </w:rPr>
        <w:t xml:space="preserve">      </w:t>
      </w:r>
      <w:r>
        <w:rPr>
          <w:sz w:val="21"/>
        </w:rPr>
        <w:t>操作，发现舌部移植瘤加快生长，证明上述神经通路通过释放CGRP对TDLNs实施免疫调控，进而促进肿瘤的生长。</w:t>
      </w:r>
    </w:p>
    <w:p w14:paraId="4C623646">
      <w:pPr>
        <w:shd w:val="clear" w:color="auto" w:fill="auto"/>
        <w:spacing w:line="360" w:lineRule="auto"/>
        <w:jc w:val="left"/>
        <w:textAlignment w:val="center"/>
        <w:rPr>
          <w:sz w:val="21"/>
        </w:rPr>
      </w:pPr>
      <w:r>
        <w:rPr>
          <w:sz w:val="21"/>
        </w:rPr>
        <w:t>③研究人员进一步提出假设：CGRP能</w:t>
      </w:r>
      <w:r>
        <w:rPr>
          <w:rFonts w:ascii="Times New Roman" w:hAnsi="Times New Roman" w:eastAsia="Times New Roman" w:cs="Times New Roman"/>
          <w:b w:val="0"/>
          <w:sz w:val="21"/>
        </w:rPr>
        <w:t>______</w:t>
      </w:r>
      <w:r>
        <w:rPr>
          <w:rFonts w:hint="eastAsia" w:cs="Times New Roman"/>
          <w:b w:val="0"/>
          <w:sz w:val="21"/>
          <w:u w:val="single"/>
          <w:lang w:val="en-US" w:eastAsia="zh-CN"/>
        </w:rPr>
        <w:t xml:space="preserve">                </w:t>
      </w:r>
      <w:r>
        <w:rPr>
          <w:sz w:val="21"/>
          <w:u w:val="single"/>
        </w:rPr>
        <w:t>。</w:t>
      </w:r>
      <w:r>
        <w:rPr>
          <w:sz w:val="21"/>
        </w:rPr>
        <w:t>为证明该假设，分离表格中甲、乙两组小鼠TDLNs内等量免疫细胞，分别注射到丙组不同小鼠的舌部移植瘤内。一段时间后检测到接受乙组小鼠免疫细胞的受体小鼠舌部移植瘤体积更小。</w:t>
      </w:r>
    </w:p>
    <w:p w14:paraId="6EDE9D48">
      <w:pPr>
        <w:numPr>
          <w:ilvl w:val="0"/>
          <w:numId w:val="1"/>
        </w:numPr>
        <w:shd w:val="clear" w:color="auto" w:fill="auto"/>
        <w:spacing w:line="360" w:lineRule="auto"/>
        <w:ind w:left="0" w:leftChars="0" w:firstLine="0" w:firstLineChars="0"/>
        <w:jc w:val="left"/>
        <w:textAlignment w:val="center"/>
        <w:rPr>
          <w:sz w:val="21"/>
        </w:rPr>
      </w:pPr>
      <w:r>
        <w:rPr>
          <w:sz w:val="21"/>
        </w:rPr>
        <w:t>口腔癌细胞还可以通过与CTL直接接触实现免疫逃逸，免疫检查点疗法通过阻断该过程恢复CTL的免疫活性。研究人员提出SLIT2抗体和免疫检查点疗法联合治疗口腔癌的新方案。结合以上实验结果，分析该方案与免疫检查点疗法相比具有的两个优点：</w:t>
      </w:r>
      <w:r>
        <w:rPr>
          <w:rFonts w:ascii="Times New Roman" w:hAnsi="Times New Roman" w:eastAsia="Times New Roman" w:cs="Times New Roman"/>
          <w:b w:val="0"/>
          <w:sz w:val="21"/>
        </w:rPr>
        <w:t>_______</w:t>
      </w:r>
      <w:r>
        <w:rPr>
          <w:sz w:val="21"/>
        </w:rPr>
        <w:t>。</w:t>
      </w:r>
    </w:p>
    <w:p w14:paraId="152B70F8">
      <w:pPr>
        <w:numPr>
          <w:numId w:val="0"/>
        </w:numPr>
        <w:shd w:val="clear" w:color="auto" w:fill="auto"/>
        <w:spacing w:line="360" w:lineRule="auto"/>
        <w:ind w:leftChars="0"/>
        <w:jc w:val="left"/>
        <w:textAlignment w:val="center"/>
        <w:rPr>
          <w:sz w:val="21"/>
        </w:rPr>
      </w:pPr>
      <w:r>
        <w:rPr>
          <w:sz w:val="21"/>
        </w:rPr>
        <mc:AlternateContent>
          <mc:Choice Requires="wps">
            <w:drawing>
              <wp:anchor distT="0" distB="0" distL="114300" distR="114300" simplePos="0" relativeHeight="251663360" behindDoc="0" locked="0" layoutInCell="1" allowOverlap="1">
                <wp:simplePos x="0" y="0"/>
                <wp:positionH relativeFrom="column">
                  <wp:posOffset>-635</wp:posOffset>
                </wp:positionH>
                <wp:positionV relativeFrom="paragraph">
                  <wp:posOffset>266700</wp:posOffset>
                </wp:positionV>
                <wp:extent cx="5190490" cy="0"/>
                <wp:effectExtent l="0" t="6350" r="0" b="6350"/>
                <wp:wrapNone/>
                <wp:docPr id="3" name="直接连接符 3"/>
                <wp:cNvGraphicFramePr/>
                <a:graphic xmlns:a="http://schemas.openxmlformats.org/drawingml/2006/main">
                  <a:graphicData uri="http://schemas.microsoft.com/office/word/2010/wordprocessingShape">
                    <wps:wsp>
                      <wps:cNvCnPr/>
                      <wps:spPr>
                        <a:xfrm>
                          <a:off x="0" y="0"/>
                          <a:ext cx="5190490" cy="0"/>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0.05pt;margin-top:21pt;height:0pt;width:408.7pt;z-index:251663360;mso-width-relative:page;mso-height-relative:page;" filled="f" stroked="t" coordsize="21600,21600" o:gfxdata="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DotjSB1wAAAAcB&#10;AAAPAAAAAAAAAAEAIAAAACIAAABkcnMvZG93bnJldi54bWxQSwECFAAUAAAACACHTuJA5HM3WOMB&#10;AACyAwAADgAAAAAAAAABACAAAAAmAQAAZHJzL2Uyb0RvYy54bWxQSwUGAAAAAAYABgBZAQAAewUA&#10;AAAA&#10;">
                <v:fill on="f" focussize="0,0"/>
                <v:stroke weight="1pt" color="#000000 [3213]" miterlimit="8" joinstyle="miter"/>
                <v:imagedata o:title=""/>
                <o:lock v:ext="edit" aspectratio="f"/>
              </v:line>
            </w:pict>
          </mc:Fallback>
        </mc:AlternateContent>
      </w:r>
    </w:p>
    <w:p w14:paraId="6176A790">
      <w:pPr>
        <w:shd w:val="clear" w:color="auto" w:fill="auto"/>
        <w:spacing w:line="360" w:lineRule="auto"/>
        <w:jc w:val="left"/>
        <w:textAlignment w:val="center"/>
        <w:rPr>
          <w:sz w:val="21"/>
        </w:rPr>
      </w:pPr>
      <w:r>
        <w:rPr>
          <w:sz w:val="21"/>
        </w:rPr>
        <w:t>21．异丁胺是一种重要的化工原料，其胞内合成代谢途径见图8。通过微生物发酵生产异丁胺时常难以兼顾菌株生长和产物合成间的平衡，研究人员尝试利用基因工程技术提高菌株的生产能力。回答下列问题：</w:t>
      </w:r>
    </w:p>
    <w:p w14:paraId="57254347">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191125" cy="847725"/>
            <wp:effectExtent l="0" t="0" r="0" b="8890"/>
            <wp:docPr id="100017" name="图片 100017" descr="@@@84677ee3-18b9-4e92-bb3d-11f03d9ae7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84677ee3-18b9-4e92-bb3d-11f03d9ae7b5"/>
                    <pic:cNvPicPr>
                      <a:picLocks noChangeAspect="1"/>
                    </pic:cNvPicPr>
                  </pic:nvPicPr>
                  <pic:blipFill>
                    <a:blip r:embed="rId17"/>
                    <a:stretch>
                      <a:fillRect/>
                    </a:stretch>
                  </pic:blipFill>
                  <pic:spPr>
                    <a:xfrm>
                      <a:off x="0" y="0"/>
                      <a:ext cx="5191125" cy="847725"/>
                    </a:xfrm>
                    <a:prstGeom prst="rect">
                      <a:avLst/>
                    </a:prstGeom>
                  </pic:spPr>
                </pic:pic>
              </a:graphicData>
            </a:graphic>
          </wp:inline>
        </w:drawing>
      </w:r>
    </w:p>
    <w:p w14:paraId="337A60D7">
      <w:pPr>
        <w:shd w:val="clear" w:color="auto" w:fill="auto"/>
        <w:spacing w:line="360" w:lineRule="auto"/>
        <w:jc w:val="left"/>
        <w:textAlignment w:val="center"/>
        <w:rPr>
          <w:sz w:val="21"/>
        </w:rPr>
      </w:pPr>
      <w:r>
        <w:rPr>
          <w:sz w:val="21"/>
        </w:rPr>
        <w:t>(1)据图8推测，真核细胞中TCA循环发生在线粒体</w:t>
      </w:r>
      <w:r>
        <w:rPr>
          <w:rFonts w:ascii="Times New Roman" w:hAnsi="Times New Roman" w:eastAsia="Times New Roman" w:cs="Times New Roman"/>
          <w:b w:val="0"/>
          <w:sz w:val="21"/>
        </w:rPr>
        <w:t>______</w:t>
      </w:r>
      <w:r>
        <w:rPr>
          <w:sz w:val="21"/>
        </w:rPr>
        <w:t>（填“基质”或“内膜”）。将asgltA基因导入菌株中，其转录形成的RNA能与gltA基因的mRNA结合形成部分双链，gltA基因表达的</w:t>
      </w:r>
      <w:r>
        <w:rPr>
          <w:rFonts w:ascii="Times New Roman" w:hAnsi="Times New Roman" w:eastAsia="Times New Roman" w:cs="Times New Roman"/>
          <w:b w:val="0"/>
          <w:sz w:val="21"/>
        </w:rPr>
        <w:t>_____</w:t>
      </w:r>
      <w:r>
        <w:rPr>
          <w:sz w:val="21"/>
        </w:rPr>
        <w:t>（填“转录”或“翻译”）过程受阻，减少丙酮酸进入TCA循环，积累丙酮酸用于异丁胺的生产，但此时菌株的生长未受明显影响。</w:t>
      </w:r>
    </w:p>
    <w:p w14:paraId="2DED490E">
      <w:pPr>
        <w:shd w:val="clear" w:color="auto" w:fill="auto"/>
        <w:spacing w:line="360" w:lineRule="auto"/>
        <w:jc w:val="left"/>
        <w:textAlignment w:val="center"/>
        <w:rPr>
          <w:sz w:val="21"/>
        </w:rPr>
      </w:pPr>
      <w:r>
        <w:rPr>
          <w:sz w:val="21"/>
        </w:rPr>
        <w:t>(2)为实现利用温度对大肠杆菌代谢的调控，研究人员构建了两种质粒（图），并分别以红色荧光蛋白mCherry和绿色荧光蛋白GFP为模式蛋白，检测质粒的调控能力。</w:t>
      </w:r>
    </w:p>
    <w:p w14:paraId="40710568">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470660"/>
            <wp:effectExtent l="0" t="0" r="635" b="15240"/>
            <wp:docPr id="100019" name="图片 100019" descr="@@@ec8cd01c-0e01-4ea8-ae4c-88f2cfa60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ec8cd01c-0e01-4ea8-ae4c-88f2cfa60692"/>
                    <pic:cNvPicPr>
                      <a:picLocks noChangeAspect="1"/>
                    </pic:cNvPicPr>
                  </pic:nvPicPr>
                  <pic:blipFill>
                    <a:blip r:embed="rId18"/>
                    <a:stretch>
                      <a:fillRect/>
                    </a:stretch>
                  </pic:blipFill>
                  <pic:spPr>
                    <a:xfrm>
                      <a:off x="0" y="0"/>
                      <a:ext cx="5276800" cy="1470695"/>
                    </a:xfrm>
                    <a:prstGeom prst="rect">
                      <a:avLst/>
                    </a:prstGeom>
                  </pic:spPr>
                </pic:pic>
              </a:graphicData>
            </a:graphic>
          </wp:inline>
        </w:drawing>
      </w:r>
    </w:p>
    <w:p w14:paraId="04749597">
      <w:pPr>
        <w:shd w:val="clear" w:color="auto" w:fill="auto"/>
        <w:spacing w:line="360" w:lineRule="auto"/>
        <w:jc w:val="left"/>
        <w:textAlignment w:val="center"/>
        <w:rPr>
          <w:sz w:val="21"/>
        </w:rPr>
      </w:pPr>
      <w:r>
        <w:rPr>
          <w:sz w:val="21"/>
        </w:rPr>
        <w:t>注：P</w:t>
      </w:r>
      <w:r>
        <w:rPr>
          <w:sz w:val="21"/>
          <w:vertAlign w:val="subscript"/>
        </w:rPr>
        <w:t>RM</w:t>
      </w:r>
      <w:r>
        <w:rPr>
          <w:sz w:val="21"/>
        </w:rPr>
        <w:t>为持续性表达启动子，P</w:t>
      </w:r>
      <w:r>
        <w:rPr>
          <w:sz w:val="21"/>
          <w:vertAlign w:val="subscript"/>
        </w:rPr>
        <w:t>R</w:t>
      </w:r>
      <w:r>
        <w:rPr>
          <w:sz w:val="21"/>
        </w:rPr>
        <w:t>和Ptrc-box为特异型启动子（分别被CI蛋白二聚体和pdhR蛋白识别并抑制），</w:t>
      </w:r>
      <w:r>
        <w:rPr>
          <w:rFonts w:ascii="Times New Roman" w:hAnsi="Times New Roman" w:eastAsia="Times New Roman" w:cs="Times New Roman"/>
          <w:strike w:val="0"/>
          <w:kern w:val="0"/>
          <w:sz w:val="24"/>
          <w:szCs w:val="24"/>
          <w:u w:val="none"/>
        </w:rPr>
        <w:drawing>
          <wp:inline distT="0" distB="0" distL="114300" distR="114300">
            <wp:extent cx="142875" cy="228600"/>
            <wp:effectExtent l="0" t="0" r="9525" b="0"/>
            <wp:docPr id="100021" name="图片 100021" descr="@@@afe20beb94504485aa3f16bdda15b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afe20beb94504485aa3f16bdda15b072"/>
                    <pic:cNvPicPr>
                      <a:picLocks noChangeAspect="1"/>
                    </pic:cNvPicPr>
                  </pic:nvPicPr>
                  <pic:blipFill>
                    <a:blip r:embed="rId19"/>
                    <a:stretch>
                      <a:fillRect/>
                    </a:stretch>
                  </pic:blipFill>
                  <pic:spPr>
                    <a:xfrm>
                      <a:off x="0" y="0"/>
                      <a:ext cx="142875" cy="228600"/>
                    </a:xfrm>
                    <a:prstGeom prst="rect">
                      <a:avLst/>
                    </a:prstGeom>
                  </pic:spPr>
                </pic:pic>
              </a:graphicData>
            </a:graphic>
          </wp:inline>
        </w:drawing>
      </w:r>
      <w:r>
        <w:rPr>
          <w:sz w:val="21"/>
        </w:rPr>
        <w:t>符号代表抑制，</w:t>
      </w:r>
      <w:r>
        <w:rPr>
          <w:rFonts w:ascii="Times New Roman" w:hAnsi="Times New Roman" w:eastAsia="Times New Roman" w:cs="Times New Roman"/>
          <w:strike w:val="0"/>
          <w:kern w:val="0"/>
          <w:sz w:val="24"/>
          <w:szCs w:val="24"/>
          <w:u w:val="none"/>
        </w:rPr>
        <w:drawing>
          <wp:inline distT="0" distB="0" distL="114300" distR="114300">
            <wp:extent cx="152400" cy="247650"/>
            <wp:effectExtent l="0" t="0" r="0" b="0"/>
            <wp:docPr id="100023" name="图片 100023" descr="@@@7980fc424d9643c388e385776820e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7980fc424d9643c388e385776820e013"/>
                    <pic:cNvPicPr>
                      <a:picLocks noChangeAspect="1"/>
                    </pic:cNvPicPr>
                  </pic:nvPicPr>
                  <pic:blipFill>
                    <a:blip r:embed="rId20"/>
                    <a:stretch>
                      <a:fillRect/>
                    </a:stretch>
                  </pic:blipFill>
                  <pic:spPr>
                    <a:xfrm>
                      <a:off x="0" y="0"/>
                      <a:ext cx="152400" cy="247650"/>
                    </a:xfrm>
                    <a:prstGeom prst="rect">
                      <a:avLst/>
                    </a:prstGeom>
                  </pic:spPr>
                </pic:pic>
              </a:graphicData>
            </a:graphic>
          </wp:inline>
        </w:drawing>
      </w:r>
      <w:r>
        <w:rPr>
          <w:sz w:val="21"/>
        </w:rPr>
        <w:t>代表终止子。</w:t>
      </w:r>
    </w:p>
    <w:p w14:paraId="051AC6F1">
      <w:pPr>
        <w:shd w:val="clear" w:color="auto" w:fill="auto"/>
        <w:spacing w:line="360" w:lineRule="auto"/>
        <w:jc w:val="left"/>
        <w:textAlignment w:val="center"/>
        <w:rPr>
          <w:sz w:val="21"/>
        </w:rPr>
      </w:pPr>
      <w:r>
        <w:rPr>
          <w:sz w:val="21"/>
        </w:rPr>
        <w:t>①为了使细胞中质粒1中mCherry蛋白的表达同时受到温度和丙酮酸的调控，可在质粒2的</w:t>
      </w:r>
      <w:r>
        <w:rPr>
          <w:rFonts w:ascii="Times New Roman" w:hAnsi="Times New Roman" w:eastAsia="Times New Roman" w:cs="Times New Roman"/>
          <w:b w:val="0"/>
          <w:sz w:val="21"/>
        </w:rPr>
        <w:t>___</w:t>
      </w:r>
      <w:r>
        <w:rPr>
          <w:sz w:val="21"/>
        </w:rPr>
        <w:t>处（填“A”或“B”）插入pdhR基因，将改造后的质粒1和质粒2导入敲除pdhR基因的大肠杆菌获得菌株L1，菌株L1在30℃时会发出</w:t>
      </w:r>
      <w:r>
        <w:rPr>
          <w:rFonts w:ascii="Times New Roman" w:hAnsi="Times New Roman" w:eastAsia="Times New Roman" w:cs="Times New Roman"/>
          <w:b w:val="0"/>
          <w:sz w:val="21"/>
        </w:rPr>
        <w:t>____</w:t>
      </w:r>
      <w:r>
        <w:rPr>
          <w:sz w:val="21"/>
        </w:rPr>
        <w:t>色荧光。</w:t>
      </w:r>
    </w:p>
    <w:p w14:paraId="2BB287CE">
      <w:pPr>
        <w:shd w:val="clear" w:color="auto" w:fill="auto"/>
        <w:spacing w:line="360" w:lineRule="auto"/>
        <w:jc w:val="left"/>
        <w:textAlignment w:val="center"/>
        <w:rPr>
          <w:sz w:val="21"/>
        </w:rPr>
      </w:pPr>
      <w:r>
        <w:rPr>
          <w:sz w:val="21"/>
        </w:rPr>
        <w:t>②pdhR蛋白无法结合天然启动子Ptrc。在Ptrc后插入box序列即可得到质粒1中的启动子Ptrc-box。研究人员通过右图实验（如图）证明pdhR蛋白可以直接结合启动子Ptrc-box，由此推测，实验中P是指无荧光标记的</w:t>
      </w:r>
      <w:r>
        <w:rPr>
          <w:rFonts w:ascii="Times New Roman" w:hAnsi="Times New Roman" w:eastAsia="Times New Roman" w:cs="Times New Roman"/>
          <w:b w:val="0"/>
          <w:sz w:val="21"/>
        </w:rPr>
        <w:t>_____</w:t>
      </w:r>
      <w:r>
        <w:rPr>
          <w:sz w:val="21"/>
        </w:rPr>
        <w:t>（填“Ptrc-box”或“无关启动子”），并在泳道5的方框中补充可能的条带宽度</w:t>
      </w:r>
      <w:r>
        <w:rPr>
          <w:rFonts w:ascii="Times New Roman" w:hAnsi="Times New Roman" w:eastAsia="Times New Roman" w:cs="Times New Roman"/>
          <w:b w:val="0"/>
          <w:sz w:val="21"/>
        </w:rPr>
        <w:t>_____</w:t>
      </w:r>
      <w:r>
        <w:rPr>
          <w:sz w:val="21"/>
        </w:rPr>
        <w:t>。</w:t>
      </w:r>
    </w:p>
    <w:p w14:paraId="3DBA357F">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543175" cy="2581275"/>
            <wp:effectExtent l="0" t="0" r="9525" b="9525"/>
            <wp:docPr id="100025" name="图片 100025" descr="@@@b5e7c43c-8a08-409a-8049-3538257858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b5e7c43c-8a08-409a-8049-35382578584b"/>
                    <pic:cNvPicPr>
                      <a:picLocks noChangeAspect="1"/>
                    </pic:cNvPicPr>
                  </pic:nvPicPr>
                  <pic:blipFill>
                    <a:blip r:embed="rId21"/>
                    <a:stretch>
                      <a:fillRect/>
                    </a:stretch>
                  </pic:blipFill>
                  <pic:spPr>
                    <a:xfrm>
                      <a:off x="0" y="0"/>
                      <a:ext cx="2543175" cy="2581275"/>
                    </a:xfrm>
                    <a:prstGeom prst="rect">
                      <a:avLst/>
                    </a:prstGeom>
                  </pic:spPr>
                </pic:pic>
              </a:graphicData>
            </a:graphic>
          </wp:inline>
        </w:drawing>
      </w:r>
    </w:p>
    <w:p w14:paraId="5CB893D3">
      <w:pPr>
        <w:shd w:val="clear" w:color="auto" w:fill="auto"/>
        <w:spacing w:line="360" w:lineRule="auto"/>
        <w:jc w:val="left"/>
        <w:textAlignment w:val="center"/>
        <w:rPr>
          <w:sz w:val="21"/>
        </w:rPr>
      </w:pPr>
      <w:r>
        <w:rPr>
          <w:sz w:val="21"/>
        </w:rPr>
        <w:t>(3)已知丙酮酸在细胞内积累到2g/L时，才能解除pdhR对Ptrc-box的抑制作用；asgltA转录形成的RNA的抑制作用可长时间维持。请完善以下表格，以实现动态调节大肠杆菌的代谢途径从而提高异丁胺的产量。</w:t>
      </w:r>
    </w:p>
    <w:tbl>
      <w:tblPr>
        <w:tblStyle w:val="4"/>
        <w:tblW w:w="45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57"/>
        <w:gridCol w:w="2258"/>
      </w:tblGrid>
      <w:tr w14:paraId="6CE66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8BBFBF">
            <w:pPr>
              <w:shd w:val="clear" w:color="auto" w:fill="auto"/>
              <w:spacing w:line="360" w:lineRule="auto"/>
              <w:jc w:val="left"/>
              <w:textAlignment w:val="center"/>
              <w:rPr>
                <w:sz w:val="21"/>
              </w:rPr>
            </w:pPr>
            <w:r>
              <w:rPr>
                <w:sz w:val="21"/>
              </w:rPr>
              <w:t>操作</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10C7E2">
            <w:pPr>
              <w:shd w:val="clear" w:color="auto" w:fill="auto"/>
              <w:spacing w:line="360" w:lineRule="auto"/>
              <w:jc w:val="left"/>
              <w:textAlignment w:val="center"/>
              <w:rPr>
                <w:sz w:val="21"/>
              </w:rPr>
            </w:pPr>
            <w:r>
              <w:rPr>
                <w:sz w:val="21"/>
              </w:rPr>
              <w:t>目的</w:t>
            </w:r>
          </w:p>
        </w:tc>
      </w:tr>
      <w:tr w14:paraId="73823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FC880B">
            <w:pPr>
              <w:shd w:val="clear" w:color="auto" w:fill="auto"/>
              <w:spacing w:line="360" w:lineRule="auto"/>
              <w:jc w:val="left"/>
              <w:textAlignment w:val="center"/>
              <w:rPr>
                <w:sz w:val="21"/>
              </w:rPr>
            </w:pPr>
            <w:r>
              <w:rPr>
                <w:sz w:val="21"/>
              </w:rPr>
              <w:t>对菌株L1的质粒和遗传物质进行改造：</w:t>
            </w:r>
            <w:r>
              <w:rPr>
                <w:rFonts w:ascii="Times New Roman" w:hAnsi="Times New Roman" w:eastAsia="Times New Roman" w:cs="Times New Roman"/>
                <w:b w:val="0"/>
                <w:sz w:val="21"/>
              </w:rPr>
              <w:t>______</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BE81CE">
            <w:pPr>
              <w:shd w:val="clear" w:color="auto" w:fill="auto"/>
              <w:spacing w:line="360" w:lineRule="auto"/>
              <w:jc w:val="left"/>
              <w:textAlignment w:val="center"/>
              <w:rPr>
                <w:sz w:val="21"/>
              </w:rPr>
            </w:pPr>
            <w:r>
              <w:rPr>
                <w:sz w:val="21"/>
              </w:rPr>
              <w:t>获得在生长阶段（37℃）积累丙酮酸并抑制生产，而在生产阶段（30℃）抑制生长的工程菌。</w:t>
            </w:r>
          </w:p>
        </w:tc>
      </w:tr>
      <w:tr w14:paraId="7B8B9D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41" w:hRule="atLeast"/>
        </w:trPr>
        <w:tc>
          <w:tcPr>
            <w:tcW w:w="225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6F230A">
            <w:pPr>
              <w:shd w:val="clear" w:color="auto" w:fill="auto"/>
              <w:spacing w:line="360" w:lineRule="auto"/>
              <w:jc w:val="left"/>
              <w:textAlignment w:val="center"/>
              <w:rPr>
                <w:sz w:val="21"/>
              </w:rPr>
            </w:pPr>
            <w:r>
              <w:rPr>
                <w:sz w:val="21"/>
              </w:rPr>
              <w:t>控制发酵温度先为37℃，当监测到</w:t>
            </w:r>
            <w:r>
              <w:rPr>
                <w:rFonts w:ascii="Times New Roman" w:hAnsi="Times New Roman" w:eastAsia="Times New Roman" w:cs="Times New Roman"/>
                <w:b w:val="0"/>
                <w:sz w:val="21"/>
              </w:rPr>
              <w:t>______</w:t>
            </w:r>
            <w:r>
              <w:rPr>
                <w:sz w:val="21"/>
              </w:rPr>
              <w:t>时将温度切换为30℃。</w:t>
            </w:r>
          </w:p>
        </w:tc>
      </w:tr>
    </w:tbl>
    <w:p w14:paraId="11E99EC1">
      <w:pPr>
        <w:shd w:val="clear" w:color="auto" w:fill="auto"/>
        <w:spacing w:line="360" w:lineRule="auto"/>
        <w:jc w:val="left"/>
        <w:textAlignment w:val="center"/>
        <w:rPr>
          <w:sz w:val="21"/>
        </w:rPr>
      </w:pPr>
    </w:p>
    <w:p w14:paraId="16808ED2">
      <w:pPr>
        <w:shd w:val="clear" w:color="auto" w:fill="auto"/>
        <w:spacing w:line="360" w:lineRule="auto"/>
        <w:jc w:val="left"/>
        <w:textAlignment w:val="center"/>
        <w:rPr>
          <w:sz w:val="21"/>
        </w:rPr>
        <w:sectPr>
          <w:footerReference r:id="rId3" w:type="default"/>
          <w:footerReference r:id="rId4" w:type="even"/>
          <w:pgSz w:w="11907" w:h="16839"/>
          <w:pgMar w:top="1440" w:right="1800" w:bottom="1440" w:left="1800" w:header="851" w:footer="425" w:gutter="0"/>
          <w:cols w:space="425" w:num="1" w:sep="1"/>
          <w:docGrid w:type="lines" w:linePitch="312" w:charSpace="0"/>
        </w:sectPr>
      </w:pPr>
    </w:p>
    <w:p w14:paraId="06D71565">
      <w:pPr>
        <w:jc w:val="center"/>
        <w:textAlignment w:val="center"/>
        <w:rPr>
          <w:rFonts w:ascii="宋体" w:hAnsi="宋体" w:eastAsia="宋体" w:cs="宋体"/>
          <w:b/>
          <w:i w:val="0"/>
          <w:color w:val="000000"/>
          <w:sz w:val="21"/>
        </w:rPr>
      </w:pPr>
      <w:r>
        <w:rPr>
          <w:rFonts w:hint="eastAsia" w:ascii="宋体" w:hAnsi="宋体" w:cs="宋体"/>
          <w:b/>
          <w:i w:val="0"/>
          <w:color w:val="000000"/>
          <w:sz w:val="21"/>
          <w:lang w:val="en-US" w:eastAsia="zh-CN"/>
        </w:rPr>
        <w:t>暑假生物综合练习卷第5套</w:t>
      </w:r>
      <w:r>
        <w:rPr>
          <w:rFonts w:ascii="宋体" w:hAnsi="宋体" w:eastAsia="宋体" w:cs="宋体"/>
          <w:b/>
          <w:i w:val="0"/>
          <w:color w:val="000000"/>
          <w:sz w:val="21"/>
        </w:rPr>
        <w:t>参考答案</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5"/>
        <w:gridCol w:w="805"/>
        <w:gridCol w:w="805"/>
        <w:gridCol w:w="805"/>
        <w:gridCol w:w="805"/>
        <w:gridCol w:w="805"/>
        <w:gridCol w:w="805"/>
        <w:gridCol w:w="805"/>
        <w:gridCol w:w="805"/>
        <w:gridCol w:w="806"/>
        <w:gridCol w:w="806"/>
      </w:tblGrid>
      <w:tr w14:paraId="23B12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2C70F86E">
            <w:pPr>
              <w:jc w:val="center"/>
              <w:textAlignment w:val="center"/>
              <w:rPr>
                <w:rFonts w:ascii="宋体" w:hAnsi="宋体" w:eastAsia="宋体" w:cs="宋体"/>
                <w:b/>
                <w:i w:val="0"/>
                <w:color w:val="000000"/>
                <w:sz w:val="21"/>
              </w:rPr>
            </w:pPr>
            <w:r>
              <w:rPr>
                <w:rFonts w:ascii="宋体" w:hAnsi="宋体" w:eastAsia="宋体" w:cs="宋体"/>
                <w:b/>
                <w:i w:val="0"/>
                <w:color w:val="000000"/>
                <w:sz w:val="21"/>
              </w:rPr>
              <w:t>题号</w:t>
            </w:r>
          </w:p>
        </w:tc>
        <w:tc>
          <w:tcPr>
            <w:tcW w:w="454" w:type="pct"/>
            <w:tcMar>
              <w:top w:w="0" w:type="dxa"/>
              <w:bottom w:w="0" w:type="dxa"/>
            </w:tcMar>
            <w:vAlign w:val="center"/>
          </w:tcPr>
          <w:p w14:paraId="3DAD642D">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w:t>
            </w:r>
          </w:p>
        </w:tc>
        <w:tc>
          <w:tcPr>
            <w:tcW w:w="454" w:type="pct"/>
            <w:tcMar>
              <w:top w:w="0" w:type="dxa"/>
              <w:bottom w:w="0" w:type="dxa"/>
            </w:tcMar>
            <w:vAlign w:val="center"/>
          </w:tcPr>
          <w:p w14:paraId="5B20F40B">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2</w:t>
            </w:r>
          </w:p>
        </w:tc>
        <w:tc>
          <w:tcPr>
            <w:tcW w:w="454" w:type="pct"/>
            <w:tcMar>
              <w:top w:w="0" w:type="dxa"/>
              <w:bottom w:w="0" w:type="dxa"/>
            </w:tcMar>
            <w:vAlign w:val="center"/>
          </w:tcPr>
          <w:p w14:paraId="6FD8F6D2">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3</w:t>
            </w:r>
          </w:p>
        </w:tc>
        <w:tc>
          <w:tcPr>
            <w:tcW w:w="454" w:type="pct"/>
            <w:tcMar>
              <w:top w:w="0" w:type="dxa"/>
              <w:bottom w:w="0" w:type="dxa"/>
            </w:tcMar>
            <w:vAlign w:val="center"/>
          </w:tcPr>
          <w:p w14:paraId="18864018">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4</w:t>
            </w:r>
          </w:p>
        </w:tc>
        <w:tc>
          <w:tcPr>
            <w:tcW w:w="454" w:type="pct"/>
            <w:tcMar>
              <w:top w:w="0" w:type="dxa"/>
              <w:bottom w:w="0" w:type="dxa"/>
            </w:tcMar>
            <w:vAlign w:val="center"/>
          </w:tcPr>
          <w:p w14:paraId="079CDD44">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5</w:t>
            </w:r>
          </w:p>
        </w:tc>
        <w:tc>
          <w:tcPr>
            <w:tcW w:w="454" w:type="pct"/>
            <w:tcMar>
              <w:top w:w="0" w:type="dxa"/>
              <w:bottom w:w="0" w:type="dxa"/>
            </w:tcMar>
            <w:vAlign w:val="center"/>
          </w:tcPr>
          <w:p w14:paraId="6684EDFC">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6</w:t>
            </w:r>
          </w:p>
        </w:tc>
        <w:tc>
          <w:tcPr>
            <w:tcW w:w="454" w:type="pct"/>
            <w:tcMar>
              <w:top w:w="0" w:type="dxa"/>
              <w:bottom w:w="0" w:type="dxa"/>
            </w:tcMar>
            <w:vAlign w:val="center"/>
          </w:tcPr>
          <w:p w14:paraId="65651BA8">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7</w:t>
            </w:r>
          </w:p>
        </w:tc>
        <w:tc>
          <w:tcPr>
            <w:tcW w:w="454" w:type="pct"/>
            <w:tcMar>
              <w:top w:w="0" w:type="dxa"/>
              <w:bottom w:w="0" w:type="dxa"/>
            </w:tcMar>
            <w:vAlign w:val="center"/>
          </w:tcPr>
          <w:p w14:paraId="3DD9253A">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8</w:t>
            </w:r>
          </w:p>
        </w:tc>
        <w:tc>
          <w:tcPr>
            <w:tcW w:w="454" w:type="pct"/>
            <w:tcMar>
              <w:top w:w="0" w:type="dxa"/>
              <w:bottom w:w="0" w:type="dxa"/>
            </w:tcMar>
            <w:vAlign w:val="center"/>
          </w:tcPr>
          <w:p w14:paraId="00560B34">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9</w:t>
            </w:r>
          </w:p>
        </w:tc>
        <w:tc>
          <w:tcPr>
            <w:tcW w:w="454" w:type="pct"/>
            <w:tcMar>
              <w:top w:w="0" w:type="dxa"/>
              <w:bottom w:w="0" w:type="dxa"/>
            </w:tcMar>
            <w:vAlign w:val="center"/>
          </w:tcPr>
          <w:p w14:paraId="647D94A0">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10</w:t>
            </w:r>
          </w:p>
        </w:tc>
      </w:tr>
      <w:tr w14:paraId="594FE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2650F5F3">
            <w:pPr>
              <w:jc w:val="center"/>
              <w:textAlignment w:val="center"/>
              <w:rPr>
                <w:rFonts w:ascii="宋体" w:hAnsi="宋体" w:eastAsia="宋体" w:cs="宋体"/>
                <w:b/>
                <w:i w:val="0"/>
                <w:color w:val="000000"/>
                <w:sz w:val="21"/>
              </w:rPr>
            </w:pPr>
            <w:r>
              <w:rPr>
                <w:rFonts w:ascii="宋体" w:hAnsi="宋体" w:eastAsia="宋体" w:cs="宋体"/>
                <w:b/>
                <w:i w:val="0"/>
                <w:color w:val="000000"/>
                <w:sz w:val="21"/>
              </w:rPr>
              <w:t>答案</w:t>
            </w:r>
          </w:p>
        </w:tc>
        <w:tc>
          <w:tcPr>
            <w:tcW w:w="454" w:type="pct"/>
            <w:tcMar>
              <w:top w:w="0" w:type="dxa"/>
              <w:bottom w:w="0" w:type="dxa"/>
            </w:tcMar>
            <w:vAlign w:val="center"/>
          </w:tcPr>
          <w:p w14:paraId="31A3B612">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B</w:t>
            </w:r>
          </w:p>
        </w:tc>
        <w:tc>
          <w:tcPr>
            <w:tcW w:w="454" w:type="pct"/>
            <w:tcMar>
              <w:top w:w="0" w:type="dxa"/>
              <w:bottom w:w="0" w:type="dxa"/>
            </w:tcMar>
            <w:vAlign w:val="center"/>
          </w:tcPr>
          <w:p w14:paraId="485D027B">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A</w:t>
            </w:r>
          </w:p>
        </w:tc>
        <w:tc>
          <w:tcPr>
            <w:tcW w:w="454" w:type="pct"/>
            <w:tcMar>
              <w:top w:w="0" w:type="dxa"/>
              <w:bottom w:w="0" w:type="dxa"/>
            </w:tcMar>
            <w:vAlign w:val="center"/>
          </w:tcPr>
          <w:p w14:paraId="4171C1AD">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0DC2A1FC">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08E45EDD">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6BEB2E91">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4DCB2B8B">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B</w:t>
            </w:r>
          </w:p>
        </w:tc>
        <w:tc>
          <w:tcPr>
            <w:tcW w:w="454" w:type="pct"/>
            <w:tcMar>
              <w:top w:w="0" w:type="dxa"/>
              <w:bottom w:w="0" w:type="dxa"/>
            </w:tcMar>
            <w:vAlign w:val="center"/>
          </w:tcPr>
          <w:p w14:paraId="6CC592AD">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A</w:t>
            </w:r>
          </w:p>
        </w:tc>
        <w:tc>
          <w:tcPr>
            <w:tcW w:w="454" w:type="pct"/>
            <w:tcMar>
              <w:top w:w="0" w:type="dxa"/>
              <w:bottom w:w="0" w:type="dxa"/>
            </w:tcMar>
            <w:vAlign w:val="center"/>
          </w:tcPr>
          <w:p w14:paraId="3AE0FB80">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13EEBE32">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A</w:t>
            </w:r>
          </w:p>
        </w:tc>
      </w:tr>
      <w:tr w14:paraId="68FD3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125D35D1">
            <w:pPr>
              <w:jc w:val="center"/>
              <w:textAlignment w:val="center"/>
              <w:rPr>
                <w:rFonts w:ascii="宋体" w:hAnsi="宋体" w:eastAsia="宋体" w:cs="宋体"/>
                <w:b/>
                <w:i w:val="0"/>
                <w:color w:val="000000"/>
                <w:sz w:val="21"/>
              </w:rPr>
            </w:pPr>
            <w:r>
              <w:rPr>
                <w:rFonts w:ascii="宋体" w:hAnsi="宋体" w:eastAsia="宋体" w:cs="宋体"/>
                <w:b/>
                <w:i w:val="0"/>
                <w:color w:val="000000"/>
                <w:sz w:val="21"/>
              </w:rPr>
              <w:t>题号</w:t>
            </w:r>
          </w:p>
        </w:tc>
        <w:tc>
          <w:tcPr>
            <w:tcW w:w="454" w:type="pct"/>
            <w:tcMar>
              <w:top w:w="0" w:type="dxa"/>
              <w:bottom w:w="0" w:type="dxa"/>
            </w:tcMar>
            <w:vAlign w:val="center"/>
          </w:tcPr>
          <w:p w14:paraId="369DB1F1">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11</w:t>
            </w:r>
          </w:p>
        </w:tc>
        <w:tc>
          <w:tcPr>
            <w:tcW w:w="454" w:type="pct"/>
            <w:tcMar>
              <w:top w:w="0" w:type="dxa"/>
              <w:bottom w:w="0" w:type="dxa"/>
            </w:tcMar>
            <w:vAlign w:val="center"/>
          </w:tcPr>
          <w:p w14:paraId="02CEFA67">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12</w:t>
            </w:r>
          </w:p>
        </w:tc>
        <w:tc>
          <w:tcPr>
            <w:tcW w:w="454" w:type="pct"/>
            <w:tcMar>
              <w:top w:w="0" w:type="dxa"/>
              <w:bottom w:w="0" w:type="dxa"/>
            </w:tcMar>
            <w:vAlign w:val="center"/>
          </w:tcPr>
          <w:p w14:paraId="29627A66">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13</w:t>
            </w:r>
          </w:p>
        </w:tc>
        <w:tc>
          <w:tcPr>
            <w:tcW w:w="454" w:type="pct"/>
            <w:tcMar>
              <w:top w:w="0" w:type="dxa"/>
              <w:bottom w:w="0" w:type="dxa"/>
            </w:tcMar>
            <w:vAlign w:val="center"/>
          </w:tcPr>
          <w:p w14:paraId="43950651">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14</w:t>
            </w:r>
          </w:p>
        </w:tc>
        <w:tc>
          <w:tcPr>
            <w:tcW w:w="454" w:type="pct"/>
            <w:tcMar>
              <w:top w:w="0" w:type="dxa"/>
              <w:bottom w:w="0" w:type="dxa"/>
            </w:tcMar>
            <w:vAlign w:val="center"/>
          </w:tcPr>
          <w:p w14:paraId="310D6659">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15</w:t>
            </w:r>
          </w:p>
        </w:tc>
        <w:tc>
          <w:tcPr>
            <w:tcW w:w="454" w:type="pct"/>
            <w:tcMar>
              <w:top w:w="0" w:type="dxa"/>
              <w:bottom w:w="0" w:type="dxa"/>
            </w:tcMar>
            <w:vAlign w:val="center"/>
          </w:tcPr>
          <w:p w14:paraId="7F4C13B7">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16</w:t>
            </w:r>
          </w:p>
        </w:tc>
        <w:tc>
          <w:tcPr>
            <w:tcW w:w="454" w:type="pct"/>
            <w:tcMar>
              <w:top w:w="0" w:type="dxa"/>
              <w:bottom w:w="0" w:type="dxa"/>
            </w:tcMar>
            <w:vAlign w:val="center"/>
          </w:tcPr>
          <w:p w14:paraId="15BEA749">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3FE11687">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7833D4B7">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0E1057C6">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r>
      <w:tr w14:paraId="45734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5C3C03EB">
            <w:pPr>
              <w:jc w:val="center"/>
              <w:textAlignment w:val="center"/>
              <w:rPr>
                <w:rFonts w:ascii="宋体" w:hAnsi="宋体" w:eastAsia="宋体" w:cs="宋体"/>
                <w:b/>
                <w:i w:val="0"/>
                <w:color w:val="000000"/>
                <w:sz w:val="21"/>
              </w:rPr>
            </w:pPr>
            <w:r>
              <w:rPr>
                <w:rFonts w:ascii="宋体" w:hAnsi="宋体" w:eastAsia="宋体" w:cs="宋体"/>
                <w:b/>
                <w:i w:val="0"/>
                <w:color w:val="000000"/>
                <w:sz w:val="21"/>
              </w:rPr>
              <w:t>答案</w:t>
            </w:r>
          </w:p>
        </w:tc>
        <w:tc>
          <w:tcPr>
            <w:tcW w:w="454" w:type="pct"/>
            <w:tcMar>
              <w:top w:w="0" w:type="dxa"/>
              <w:bottom w:w="0" w:type="dxa"/>
            </w:tcMar>
            <w:vAlign w:val="center"/>
          </w:tcPr>
          <w:p w14:paraId="3EB0C8C2">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1820A164">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B</w:t>
            </w:r>
          </w:p>
        </w:tc>
        <w:tc>
          <w:tcPr>
            <w:tcW w:w="454" w:type="pct"/>
            <w:tcMar>
              <w:top w:w="0" w:type="dxa"/>
              <w:bottom w:w="0" w:type="dxa"/>
            </w:tcMar>
            <w:vAlign w:val="center"/>
          </w:tcPr>
          <w:p w14:paraId="331465CA">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687045ED">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B</w:t>
            </w:r>
          </w:p>
        </w:tc>
        <w:tc>
          <w:tcPr>
            <w:tcW w:w="454" w:type="pct"/>
            <w:tcMar>
              <w:top w:w="0" w:type="dxa"/>
              <w:bottom w:w="0" w:type="dxa"/>
            </w:tcMar>
            <w:vAlign w:val="center"/>
          </w:tcPr>
          <w:p w14:paraId="4AC97D9D">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19356D9A">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1E0CE4C9">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23C381A3">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0B745100">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3B244DFE">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r>
    </w:tbl>
    <w:p w14:paraId="7F1BBA8A">
      <w:pPr>
        <w:jc w:val="center"/>
        <w:textAlignment w:val="center"/>
        <w:rPr>
          <w:rFonts w:ascii="宋体" w:hAnsi="宋体" w:eastAsia="宋体" w:cs="宋体"/>
          <w:b/>
          <w:i w:val="0"/>
          <w:color w:val="000000"/>
          <w:sz w:val="21"/>
        </w:rPr>
      </w:pPr>
    </w:p>
    <w:p w14:paraId="1053E443">
      <w:pPr>
        <w:shd w:val="clear" w:color="auto" w:fill="auto"/>
        <w:spacing w:line="360" w:lineRule="auto"/>
        <w:jc w:val="left"/>
        <w:textAlignment w:val="center"/>
        <w:rPr>
          <w:sz w:val="21"/>
        </w:rPr>
      </w:pPr>
      <w:r>
        <w:rPr>
          <w:sz w:val="21"/>
        </w:rPr>
        <w:t>1．B【详解】A、SRB天然生存于深海高压环境，人工培养时需要模拟高压环境，因此高压模拟装置是需要添加的，A不符合题意；B、SRB为化能自养型生物，可利用氧化无机物释放的化学能，将CO₂等无机物合成自身所需的有机物，不需要额外添加葡萄糖作为有机碳源，因此无需添加自动补料葡萄糖装置，B符合题意；C、SRB天然生存于深海低温环境，人工培养时需要控制适宜的低温条件，因此需要温度监测装置，C不符合题意；D、扩大培养SRB时需要避免杂菌污染，因此需要培养液过滤除菌装置对培养液进行除菌处理，D不符合题意。</w:t>
      </w:r>
    </w:p>
    <w:p w14:paraId="1C71EC56">
      <w:pPr>
        <w:shd w:val="clear" w:color="auto" w:fill="auto"/>
        <w:spacing w:line="360" w:lineRule="auto"/>
        <w:jc w:val="left"/>
        <w:textAlignment w:val="center"/>
        <w:rPr>
          <w:sz w:val="21"/>
        </w:rPr>
      </w:pPr>
      <w:r>
        <w:rPr>
          <w:sz w:val="21"/>
        </w:rPr>
        <w:t>2．A【详解】A、科学运动可增加能量消耗，同时配合合理饮食，既能实现体重的科学管控，也不会损伤身体健康，符合健康体重管理的要求，A正确；B、水果中营养成分不均衡，缺乏蛋白质、脂质以及部分人体必需的矿物质和维生素，长期水果代餐会导致营养不良，损害机体正常生理功能，不符合题意，B错误；C、主食的主要成分为糖类，糖类是人体主要的能源物质，不吃主食会导致机体能量供应不足，引发代谢紊乱、低血糖等健康问题，不符合题意，C错误；D、节食减重会导致能量和营养摄入严重不足，无法满足人体正常生命活动的需求，会造成基础代谢下降、器官功能受损、营养不良等问题，不属于健康的体重管理方式，不符合题意，D错误。</w:t>
      </w:r>
    </w:p>
    <w:p w14:paraId="0AF9B3A5">
      <w:pPr>
        <w:shd w:val="clear" w:color="auto" w:fill="auto"/>
        <w:spacing w:line="360" w:lineRule="auto"/>
        <w:jc w:val="left"/>
        <w:textAlignment w:val="center"/>
        <w:rPr>
          <w:sz w:val="21"/>
        </w:rPr>
      </w:pPr>
      <w:r>
        <w:rPr>
          <w:sz w:val="21"/>
        </w:rPr>
        <w:t>3．D【详解】出生率是单位时间内新产生的个体数占种群总个体数的比例，诱杀雄性个体会破坏害虫种群的正常性别比例，导致大量雌性个体无法完成交配繁殖，进而降低害虫出生率，使其繁殖力下降，ABC错误；D正确。</w:t>
      </w:r>
    </w:p>
    <w:p w14:paraId="2D7A4DFA">
      <w:pPr>
        <w:shd w:val="clear" w:color="auto" w:fill="auto"/>
        <w:spacing w:line="360" w:lineRule="auto"/>
        <w:jc w:val="left"/>
        <w:textAlignment w:val="center"/>
        <w:rPr>
          <w:sz w:val="21"/>
        </w:rPr>
      </w:pPr>
      <w:r>
        <w:rPr>
          <w:sz w:val="21"/>
        </w:rPr>
        <w:t>4．C【详解】A、兴奋在神经-肌肉接头处的传递需要乙酰胆碱与肌细胞膜上的对应受体结合才能完成，氯化筒箭毒碱与该受体结合后会阻碍该过程，因此兴奋传递会被阻断，A不符合题意；B、正常情况下乙酰胆碱与N₂型受体结合后会启动肌细胞膜阳离子通道开放，引发阳离子内流产生动作电位，氯化筒箭毒碱占据受体后该阳离子内流过程无法发生，会被阻断，B不符合题意；C、痛觉的产生部位是大脑皮层，该信号传递通路不涉及神经-肌肉接头处的N₂型乙酰胆碱受体，因此该过程不会被氯化筒箭毒碱阻断，C符合题意；D、兴奋向骨骼肌的传导被阻断后，骨骼肌无法接收兴奋信号，无法产生收缩，因此骨骼肌收缩过程会被阻断，D不符合题意。</w:t>
      </w:r>
    </w:p>
    <w:p w14:paraId="4F20AE9A">
      <w:pPr>
        <w:shd w:val="clear" w:color="auto" w:fill="auto"/>
        <w:spacing w:line="360" w:lineRule="auto"/>
        <w:jc w:val="left"/>
        <w:textAlignment w:val="center"/>
        <w:rPr>
          <w:sz w:val="21"/>
        </w:rPr>
      </w:pPr>
      <w:r>
        <w:rPr>
          <w:sz w:val="21"/>
        </w:rPr>
        <w:t>5．C【详解】A、水的光解属于光反应阶段的过程，受光照、细胞含水量等因素直接影响，气孔关闭初期细胞含水量无明显下降，光反应未受直接抑制，水的光解不会减少，A错误；</w:t>
      </w:r>
    </w:p>
    <w:p w14:paraId="40D6BED8">
      <w:pPr>
        <w:shd w:val="clear" w:color="auto" w:fill="auto"/>
        <w:spacing w:line="360" w:lineRule="auto"/>
        <w:jc w:val="left"/>
        <w:textAlignment w:val="center"/>
        <w:rPr>
          <w:sz w:val="21"/>
        </w:rPr>
      </w:pPr>
      <w:r>
        <w:rPr>
          <w:sz w:val="21"/>
        </w:rPr>
        <w:t>B、ATP是光反应的产物，气孔关闭初期光反应正常进行，ATP供应不会直接减少，仅当暗反应受抑制后ATP积累才会间接抑制光反应，不属于直接原因，B错误；</w:t>
      </w:r>
    </w:p>
    <w:p w14:paraId="0C24D89C">
      <w:pPr>
        <w:shd w:val="clear" w:color="auto" w:fill="auto"/>
        <w:spacing w:line="360" w:lineRule="auto"/>
        <w:jc w:val="left"/>
        <w:textAlignment w:val="center"/>
        <w:rPr>
          <w:sz w:val="21"/>
        </w:rPr>
      </w:pPr>
      <w:r>
        <w:rPr>
          <w:sz w:val="21"/>
        </w:rPr>
        <w:t>C、气孔是CO₂进入植物细胞的通道，气孔关闭会直接导致植物吸收的CO₂减少，暗反应中CO₂与C₅结合生成C₃的固定过程速率下降，C₃生成量减少，直接导致暗反应速率下降，进而整体光合速率下降，C正确；D、CO₂供应减少时，C₅的消耗速率下降，而短时间内C₃的还原仍在正常进行生成C₅，因此C₅的数量会增多，D错误。</w:t>
      </w:r>
    </w:p>
    <w:p w14:paraId="509EB216">
      <w:pPr>
        <w:shd w:val="clear" w:color="auto" w:fill="auto"/>
        <w:spacing w:line="360" w:lineRule="auto"/>
        <w:jc w:val="left"/>
        <w:textAlignment w:val="center"/>
        <w:rPr>
          <w:sz w:val="21"/>
        </w:rPr>
      </w:pPr>
      <w:r>
        <w:rPr>
          <w:sz w:val="21"/>
        </w:rPr>
        <w:t>6．C【详解】A、DNA复制发生在有丝分裂间期，该过程与星射线和染色体的附着过程无关联，不会出现异常，A不符合题意；B、星射线是有丝分裂前期由中心体发出形成的，Aurora-B仅调控星射线与染色体的附着，不影响星射线的合成过程，不会出现异常，B不符合题意；C、有丝分裂中期着丝粒整齐排列在赤道板上，依赖星射线附着在染色体着丝粒上进行牵引，星射线无法正确附着时，着丝粒的排列过程会出现异常，C符合题意；D、着丝粒的分裂由细胞内相关酶的调控触发，与星射线是否附着在染色体上无关，不会出现异常，D不符合题意。</w:t>
      </w:r>
    </w:p>
    <w:p w14:paraId="7B25A360">
      <w:pPr>
        <w:shd w:val="clear" w:color="auto" w:fill="auto"/>
        <w:spacing w:line="360" w:lineRule="auto"/>
        <w:jc w:val="left"/>
        <w:textAlignment w:val="center"/>
        <w:rPr>
          <w:sz w:val="21"/>
        </w:rPr>
      </w:pPr>
      <w:r>
        <w:rPr>
          <w:sz w:val="21"/>
        </w:rPr>
        <w:t>7．B【详解】A、肽链的合成场所是核糖体，若该蛋白参与肽链合成，突变后分泌蛋白的肽链无法正常合成，不会出现高尔基体积聚分泌蛋白的现象，A错误；B、高尔基体对蛋白质做进一步的修饰加工，若该蛋白参与蛋白质的修饰，突变后会导致分泌蛋白无法从高尔基体运出、积聚在高尔基体使其膨大，B正确；C、分泌蛋白在高尔基体加工完成后，需要通过囊泡运输到细胞膜，再经胞吐分泌到细胞外；若该蛋白参与囊泡运输，突变后高尔基体中的分泌蛋白无法通过囊泡向外运输，会在高尔基体积聚使其膨大，且内质网向高尔基体的运输过程也是通过囊泡转运，因此内质网形态也会不正常，C错误；D、蛋白质水解的作用是降解异常蛋白，若该蛋白参与蛋白质水解，突变后不会导致分泌蛋白完全无法分泌到细胞外，也不符合内质网形态正常的特征，D错误。</w:t>
      </w:r>
    </w:p>
    <w:p w14:paraId="61C3090C">
      <w:pPr>
        <w:shd w:val="clear" w:color="auto" w:fill="auto"/>
        <w:spacing w:line="360" w:lineRule="auto"/>
        <w:jc w:val="left"/>
        <w:textAlignment w:val="center"/>
        <w:rPr>
          <w:sz w:val="21"/>
        </w:rPr>
      </w:pPr>
      <w:r>
        <w:rPr>
          <w:sz w:val="21"/>
        </w:rPr>
        <w:t>8．A【详解】A、iPS细胞是通过对成熟体细胞诱导重编程得到的多能干细胞，无需破坏胚胎获取，因此研发过程不涉及胚胎干细胞相关的伦理争议，A符合题意；B、获取足量的iPS细胞及诱导其分化为脊髓神经祖细胞的过程，需要通过原代培养、传代培养完成细胞扩增，涉及该操作，B不符合题意；C、该药品为异体来源的细胞制剂，研发阶段需要监测给药后的免疫排斥反应，以验证其安全性，涉及该操作，C不符合题意；D、iPS细胞分化为脊髓神经祖细胞的实质是基因的选择性表达，研发过程需要定向调控相关基因的表达才能获得目标细胞，涉及该操作，D不符合题意。</w:t>
      </w:r>
    </w:p>
    <w:p w14:paraId="34760F1E">
      <w:pPr>
        <w:shd w:val="clear" w:color="auto" w:fill="auto"/>
        <w:spacing w:line="360" w:lineRule="auto"/>
        <w:jc w:val="left"/>
        <w:textAlignment w:val="center"/>
        <w:rPr>
          <w:sz w:val="21"/>
        </w:rPr>
      </w:pPr>
      <w:r>
        <w:rPr>
          <w:sz w:val="21"/>
        </w:rPr>
        <w:t>9．D【详解】A、人工膜为不含蛋白质的脂质双层膜，水分子通过细胞膜的速率远高于人工膜，可合理推断细胞膜上存在协助水运输的通道，因此提出水通道假说，A不符合题意；B、DNA双螺旋结构的碱基互补配对特点，可合理推断DNA复制时以两条链分别为模板合成子代DNA，因此提出半保留复制假说，B不符合题意；C、切除神经的胰腺仍能分泌胰液，说明胰液分泌不依赖神经调节，可合理推断存在化学物质调节胰液分泌，因此提出化学调节胰液分泌假说，C不符合题意；D、胚芽鞘向光弯曲生长的现象，仅能推断尖端受单侧光刺激后会向伸长区传递某种影响，使背光侧生长更快，不能得出光诱导生长素产生的结论，且生长素的产生本身不需要光，光仅影响生长素的分布，D符合题意。</w:t>
      </w:r>
    </w:p>
    <w:p w14:paraId="53994769">
      <w:pPr>
        <w:shd w:val="clear" w:color="auto" w:fill="auto"/>
        <w:spacing w:line="360" w:lineRule="auto"/>
        <w:jc w:val="left"/>
        <w:textAlignment w:val="center"/>
        <w:rPr>
          <w:sz w:val="21"/>
        </w:rPr>
      </w:pPr>
      <w:r>
        <w:rPr>
          <w:sz w:val="21"/>
        </w:rPr>
        <w:t>10．A【详解】A、乙烯利在pH&lt;3.5的酸性环境中性质稳定，难以分解释放具有催熟作用的乙烯，A错误；B、乙烯利释放的乙烯及挥发的药剂对人体有刺激性，在通风良好环境中取用可避免吸入过量有害物质，B正确；C、探究实验需设置空白对照，清水喷洒组可排除溶剂等无关变量的干扰，C正确；D、芒果成熟过程中果胶分解、硬度会明显降低，可作为催熟效果的观测指标，D正确。</w:t>
      </w:r>
    </w:p>
    <w:p w14:paraId="77622E66">
      <w:pPr>
        <w:shd w:val="clear" w:color="auto" w:fill="auto"/>
        <w:spacing w:line="360" w:lineRule="auto"/>
        <w:jc w:val="left"/>
        <w:textAlignment w:val="center"/>
        <w:rPr>
          <w:sz w:val="21"/>
        </w:rPr>
      </w:pPr>
      <w:r>
        <w:rPr>
          <w:sz w:val="21"/>
        </w:rPr>
        <w:t>11．C【详解】密码子为5'-UUA-3'，与其反向互补的反密码子（3'→5'）为AAU，即tRNA反密码子按5'→3'书写为5'-UAA-3'。tRNA由其基因转录而来，与DNA模板链反向互补，因此模板链按3'→5'的序列为ATT，转换为5'→3'的书写形式即为5'-TTA-3'，C正确。</w:t>
      </w:r>
    </w:p>
    <w:p w14:paraId="21B7F421">
      <w:pPr>
        <w:shd w:val="clear" w:color="auto" w:fill="auto"/>
        <w:spacing w:line="360" w:lineRule="auto"/>
        <w:jc w:val="left"/>
        <w:textAlignment w:val="center"/>
        <w:rPr>
          <w:sz w:val="21"/>
        </w:rPr>
      </w:pPr>
      <w:r>
        <w:rPr>
          <w:sz w:val="21"/>
        </w:rPr>
        <w:t>12．B【详解】A、EZH2活性被抑制后染色体空间结构改变，进而能促进ATF3基因表达，而基因表达的转录过程需要染色体解螺旋，说明正常状态下EZH2可抑制染色体解螺旋，从而抑制相关基因表达，A正确；B、核糖体是蛋白质合成的场所，染色体存在于细胞核中，组蛋白的修饰是在细胞核内对组装到染色体上的组蛋白进行的加工，B错误；C、由题干可知ATF3基因表达可驱动黑色素瘤细胞凋亡，凋亡可抑制癌细胞的无限增殖，因此ATF3基因可能调控癌细胞的增殖，C正确；D、ATF3基因促进癌细胞凋亡，属于抑癌基因，若其发生突变导致功能丧失，无法抑制癌细胞异常增殖、促进凋亡，可能引起细胞癌变，D正确。</w:t>
      </w:r>
    </w:p>
    <w:p w14:paraId="26B3FA9A">
      <w:pPr>
        <w:shd w:val="clear" w:color="auto" w:fill="auto"/>
        <w:spacing w:line="360" w:lineRule="auto"/>
        <w:jc w:val="left"/>
        <w:textAlignment w:val="center"/>
        <w:rPr>
          <w:sz w:val="21"/>
        </w:rPr>
      </w:pPr>
      <w:r>
        <w:rPr>
          <w:sz w:val="21"/>
        </w:rPr>
        <w:t>13．C【详解】A、本实验的目的是探究巴瑞替尼对β细胞的修复效果，实验的前提是构建β细胞损伤的模型鼠。已知长期高糖高脂环境会损伤胰岛B细胞（β细胞），所以可通过持续给予高糖高脂饮食以获得模型鼠，A正确；B、实验设计需要遵循对照原则，探究药物的作用时，对照组通常使用不含药物的溶剂处理，所以对照组处理是模型鼠灌胃等量生理盐水，B正确；C、图示①是实验前（未给药处理）的胰岛素水平，②是给药4周后的实验组结果，①②对照只能说明给药后实验组胰岛素水平仍低于实验前，无法说明巴瑞替尼的修复作用；要证明巴瑞替尼有修复效果，需要②（实验组）和③（对照组）对照，②胰岛素含量显著高于③，才能说明巴瑞替尼的修复作用，C错误；D、据题意可知，“高糖高脂造成的β细胞损伤，在恢复正常饮食后仍会持续进展”，对照组不用药，因此4周后对照组β细胞损伤随病程进展加重，胰岛素分泌进一步减少，符合图中③对照组的结果，D正确。</w:t>
      </w:r>
    </w:p>
    <w:p w14:paraId="5E5ECC2D">
      <w:pPr>
        <w:shd w:val="clear" w:color="auto" w:fill="auto"/>
        <w:spacing w:line="360" w:lineRule="auto"/>
        <w:jc w:val="left"/>
        <w:textAlignment w:val="center"/>
        <w:rPr>
          <w:sz w:val="21"/>
        </w:rPr>
      </w:pPr>
      <w:r>
        <w:rPr>
          <w:sz w:val="21"/>
        </w:rPr>
        <w:t>14．B【详解】A、不同物种之间、生物与无机环境之间协同进化的过程中，物种生态位逐渐分化，最终形成各自相对稳定的时空生态位，A正确；B、由表可知高体鳑鲏的空间生态位与其余三种鱼重叠指数均很低，说明其空间生境与其他物种重合度低，可利用其他物种未充分利用的空间资源，减少种间竞争，有利于物种共存，可促进提高水库物种丰富度，B错误；C、麦穗鱼和鲫的时空生态位重叠指数均很高，二者种间竞争激烈，引入鲫的天敌后鲫种群数量下降，麦穗鱼的种间竞争压力减小，一段时间后种群数量会增加，C正确；D、棒花鱼和麦穗鱼的时间生态位重叠指数接近1，几乎完全重合，二者可通过错开生境减少资源利用的重合度，进而降低种间竞争，D正确。</w:t>
      </w:r>
    </w:p>
    <w:p w14:paraId="678A1A5E">
      <w:pPr>
        <w:shd w:val="clear" w:color="auto" w:fill="auto"/>
        <w:spacing w:line="360" w:lineRule="auto"/>
        <w:jc w:val="left"/>
        <w:textAlignment w:val="center"/>
        <w:rPr>
          <w:sz w:val="21"/>
        </w:rPr>
      </w:pPr>
      <w:r>
        <w:rPr>
          <w:sz w:val="21"/>
        </w:rPr>
        <w:t>15．D【详解】A、平板划线法的特点是菌液稀释不均，无法保证接种等量菌到培养基，本实验需要定量分析抑菌圈直径，应保证接种菌量一致，采用稀释涂布平板法，A 错误；B、抑菌圈直径越小，说明培养基中耐药菌数量越多，若 a 中细菌较早产生耐药性突变，耐药菌比例更高，抑菌圈直径应a &lt; b，B错误；C、I 组抑菌圈直径几乎相同的原因是大试管中细菌混合培养，耐药突变在接触抗生素前已发生，且在种群中随机混合，导致接种到各平板的耐药菌比例基本一致，C错误；D、大试管中细菌为混合种群，耐药突变提前发生并均匀分布，各平板抑菌圈直径差异小，方差小，小试管分装后独立培养，耐药突变随机发生在不同试管中，有的试管早突变、耐药菌多，有的晚突变、耐药菌少，导致各平板抑菌圈直径差异大，方差大，c &lt; d说明耐药突变在细菌接触抗生素之前就已自发产生，D正确。</w:t>
      </w:r>
    </w:p>
    <w:p w14:paraId="01BC3069">
      <w:pPr>
        <w:shd w:val="clear" w:color="auto" w:fill="auto"/>
        <w:spacing w:line="360" w:lineRule="auto"/>
        <w:jc w:val="left"/>
        <w:textAlignment w:val="center"/>
        <w:rPr>
          <w:sz w:val="21"/>
        </w:rPr>
      </w:pPr>
      <w:r>
        <w:rPr>
          <w:sz w:val="21"/>
        </w:rPr>
        <w:t>16．D【详解】A、表型正常的夫妇生育了患DMD的儿子，说明该病为隐性遗传，电泳结果显示，父亲条带与患儿不同，而母亲的条带中有两条与患儿相同，这符合 X 染色体遗传特点，因此 DMD 基因和 HS6S12 基因位于 X 染色体上，A正确；B、正常 DMD 基因仅能被引物组合②、③扩增出条带，而患儿的异常基因还能被引物组合①、④扩增出条带，这说明 DMD 基因区域与 HS6S12 基因区域发生了染色体结构变异，使原本不相邻的序列连接在一起，导致新的引物组合能扩增出产物，B正确；C、引物组合④仅能扩增出异常 X 染色体，女儿的两条 X 染色体，一条来自父亲（父亲正常），一条来自母亲（可能正常 / 异常），若女儿携带致病基因，则用引物④可扩增出条带，若不携带则无，因此可检测女儿是否携带致病基因，C正确；D、母亲为携带者（X</w:t>
      </w:r>
      <w:r>
        <w:rPr>
          <w:sz w:val="21"/>
          <w:vertAlign w:val="superscript"/>
        </w:rPr>
        <w:t>A</w:t>
      </w:r>
      <w:r>
        <w:rPr>
          <w:sz w:val="21"/>
        </w:rPr>
        <w:t>X</w:t>
      </w:r>
      <w:r>
        <w:rPr>
          <w:sz w:val="21"/>
          <w:vertAlign w:val="superscript"/>
        </w:rPr>
        <w:t>a</w:t>
      </w:r>
      <w:r>
        <w:rPr>
          <w:sz w:val="21"/>
        </w:rPr>
        <w:t>），父亲为 X</w:t>
      </w:r>
      <w:r>
        <w:rPr>
          <w:sz w:val="21"/>
          <w:vertAlign w:val="superscript"/>
        </w:rPr>
        <w:t>A</w:t>
      </w:r>
      <w:r>
        <w:rPr>
          <w:sz w:val="21"/>
        </w:rPr>
        <w:t>Y，女儿基因型为1/2 X</w:t>
      </w:r>
      <w:r>
        <w:rPr>
          <w:sz w:val="21"/>
          <w:vertAlign w:val="superscript"/>
        </w:rPr>
        <w:t>A</w:t>
      </w:r>
      <w:r>
        <w:rPr>
          <w:sz w:val="21"/>
        </w:rPr>
        <w:t>X</w:t>
      </w:r>
      <w:r>
        <w:rPr>
          <w:sz w:val="21"/>
          <w:vertAlign w:val="superscript"/>
        </w:rPr>
        <w:t>A或</w:t>
      </w:r>
      <w:r>
        <w:rPr>
          <w:sz w:val="21"/>
        </w:rPr>
        <w:t>1/2 X</w:t>
      </w:r>
      <w:r>
        <w:rPr>
          <w:sz w:val="21"/>
          <w:vertAlign w:val="superscript"/>
        </w:rPr>
        <w:t>A</w:t>
      </w:r>
      <w:r>
        <w:rPr>
          <w:sz w:val="21"/>
        </w:rPr>
        <w:t>X</w:t>
      </w:r>
      <w:r>
        <w:rPr>
          <w:sz w:val="21"/>
          <w:vertAlign w:val="superscript"/>
        </w:rPr>
        <w:t>a</w:t>
      </w:r>
      <w:r>
        <w:rPr>
          <w:sz w:val="21"/>
        </w:rPr>
        <w:t>，已知 DMD 在男性中发病率为 p，即人群中 X</w:t>
      </w:r>
      <w:r>
        <w:rPr>
          <w:sz w:val="21"/>
          <w:vertAlign w:val="superscript"/>
        </w:rPr>
        <w:t>a</w:t>
      </w:r>
      <w:r>
        <w:rPr>
          <w:sz w:val="21"/>
        </w:rPr>
        <w:t>的基因频率为 p，X</w:t>
      </w:r>
      <w:r>
        <w:rPr>
          <w:sz w:val="21"/>
          <w:vertAlign w:val="superscript"/>
        </w:rPr>
        <w:t>A</w:t>
      </w:r>
      <w:r>
        <w:rPr>
          <w:sz w:val="21"/>
        </w:rPr>
        <w:t>为 1-p，若女儿为 X</w:t>
      </w:r>
      <w:r>
        <w:rPr>
          <w:sz w:val="21"/>
          <w:vertAlign w:val="superscript"/>
        </w:rPr>
        <w:t>A</w:t>
      </w:r>
      <w:r>
        <w:rPr>
          <w:sz w:val="21"/>
        </w:rPr>
        <w:t>X</w:t>
      </w:r>
      <w:r>
        <w:rPr>
          <w:sz w:val="21"/>
          <w:vertAlign w:val="superscript"/>
        </w:rPr>
        <w:t>A</w:t>
      </w:r>
      <w:r>
        <w:rPr>
          <w:sz w:val="21"/>
        </w:rPr>
        <w:t>（概率 1/2），与任何男性婚配，子代均不患病，概率为 0，若女儿为 X</w:t>
      </w:r>
      <w:r>
        <w:rPr>
          <w:sz w:val="21"/>
          <w:vertAlign w:val="superscript"/>
        </w:rPr>
        <w:t>A</w:t>
      </w:r>
      <w:r>
        <w:rPr>
          <w:sz w:val="21"/>
        </w:rPr>
        <w:t>X</w:t>
      </w:r>
      <w:r>
        <w:rPr>
          <w:sz w:val="21"/>
          <w:vertAlign w:val="superscript"/>
        </w:rPr>
        <w:t>a</w:t>
      </w:r>
      <w:r>
        <w:rPr>
          <w:sz w:val="21"/>
        </w:rPr>
        <w:t>（概率 1/2），与正常男性（X</w:t>
      </w:r>
      <w:r>
        <w:rPr>
          <w:sz w:val="21"/>
          <w:vertAlign w:val="superscript"/>
        </w:rPr>
        <w:t>A</w:t>
      </w:r>
      <w:r>
        <w:rPr>
          <w:sz w:val="21"/>
        </w:rPr>
        <w:t>Y，概率 1-p）婚配，子代患病概率为 1/4（仅儿子 X</w:t>
      </w:r>
      <w:r>
        <w:rPr>
          <w:sz w:val="21"/>
          <w:vertAlign w:val="superscript"/>
        </w:rPr>
        <w:t>a</w:t>
      </w:r>
      <w:r>
        <w:rPr>
          <w:sz w:val="21"/>
        </w:rPr>
        <w:t>Y 患病），与患病男性（X</w:t>
      </w:r>
      <w:r>
        <w:rPr>
          <w:sz w:val="21"/>
          <w:vertAlign w:val="superscript"/>
        </w:rPr>
        <w:t>a</w:t>
      </w:r>
      <w:r>
        <w:rPr>
          <w:sz w:val="21"/>
        </w:rPr>
        <w:t>Y，概率 p）婚配，子代患病概率为 1/2（女儿 X</w:t>
      </w:r>
      <w:r>
        <w:rPr>
          <w:sz w:val="21"/>
          <w:vertAlign w:val="superscript"/>
        </w:rPr>
        <w:t>a</w:t>
      </w:r>
      <w:r>
        <w:rPr>
          <w:sz w:val="21"/>
        </w:rPr>
        <w:t>X</w:t>
      </w:r>
      <w:r>
        <w:rPr>
          <w:sz w:val="21"/>
          <w:vertAlign w:val="superscript"/>
        </w:rPr>
        <w:t>a</w:t>
      </w:r>
      <w:r>
        <w:rPr>
          <w:sz w:val="21"/>
        </w:rPr>
        <w:t>、儿子 X</w:t>
      </w:r>
      <w:r>
        <w:rPr>
          <w:sz w:val="21"/>
          <w:vertAlign w:val="superscript"/>
        </w:rPr>
        <w:t>a</w:t>
      </w:r>
      <w:r>
        <w:rPr>
          <w:sz w:val="21"/>
        </w:rPr>
        <w:t>Y），女儿婚后生育一个患有DMD疾病子代的概率是</w:t>
      </w:r>
      <w:r>
        <w:rPr>
          <w:sz w:val="24"/>
        </w:rPr>
        <w:t>1/2×[(1−p)×1/4+p×1/2]=（1+p）/8，</w:t>
      </w:r>
      <w:r>
        <w:rPr>
          <w:sz w:val="21"/>
        </w:rPr>
        <w:t>D错误。</w:t>
      </w:r>
    </w:p>
    <w:p w14:paraId="4A45BBD2">
      <w:pPr>
        <w:shd w:val="clear" w:color="auto" w:fill="auto"/>
        <w:spacing w:line="360" w:lineRule="auto"/>
        <w:jc w:val="left"/>
        <w:textAlignment w:val="center"/>
        <w:rPr>
          <w:sz w:val="21"/>
        </w:rPr>
      </w:pPr>
      <w:r>
        <w:rPr>
          <w:sz w:val="21"/>
        </w:rPr>
        <w:t>17．(1)     方向     此技术使该地已具备适宜木本植物种子生长的土壤条件</w:t>
      </w:r>
    </w:p>
    <w:p w14:paraId="707EBEF9">
      <w:pPr>
        <w:shd w:val="clear" w:color="auto" w:fill="auto"/>
        <w:spacing w:line="360" w:lineRule="auto"/>
        <w:jc w:val="left"/>
        <w:textAlignment w:val="center"/>
        <w:rPr>
          <w:sz w:val="21"/>
        </w:rPr>
      </w:pPr>
      <w:r>
        <w:rPr>
          <w:sz w:val="21"/>
        </w:rPr>
        <w:t>(2)6个月内盖度上升至接近100%，9-12月盖度仍保持稳定而生长密度降低</w:t>
      </w:r>
    </w:p>
    <w:p w14:paraId="5B1AF40E">
      <w:pPr>
        <w:shd w:val="clear" w:color="auto" w:fill="auto"/>
        <w:spacing w:line="360" w:lineRule="auto"/>
        <w:jc w:val="left"/>
        <w:textAlignment w:val="center"/>
        <w:rPr>
          <w:sz w:val="21"/>
        </w:rPr>
      </w:pPr>
      <w:r>
        <w:rPr>
          <w:sz w:val="21"/>
        </w:rPr>
        <w:t>(3)有可能；银合欢种间竞争优势高，可能持续扩张为单一树种，生态系统稳定性低易爆发严重病虫害</w:t>
      </w:r>
      <w:r>
        <w:rPr>
          <w:rFonts w:ascii="Times New Roman" w:hAnsi="Times New Roman" w:eastAsia="Times New Roman" w:cs="Times New Roman"/>
          <w:kern w:val="0"/>
          <w:sz w:val="24"/>
          <w:szCs w:val="24"/>
        </w:rPr>
        <w:t>    </w:t>
      </w:r>
      <w:r>
        <w:rPr>
          <w:sz w:val="21"/>
        </w:rPr>
        <w:t>不可能；银合欢在9-12月占比有所下降，可与其他物种稳定共存，生态系统稳定性较高不易存在爆发严重病虫害</w:t>
      </w:r>
    </w:p>
    <w:p w14:paraId="4631CB7F">
      <w:pPr>
        <w:shd w:val="clear" w:color="auto" w:fill="auto"/>
        <w:spacing w:line="360" w:lineRule="auto"/>
        <w:jc w:val="left"/>
        <w:textAlignment w:val="center"/>
        <w:rPr>
          <w:sz w:val="21"/>
        </w:rPr>
      </w:pPr>
      <w:r>
        <w:rPr>
          <w:sz w:val="21"/>
        </w:rPr>
        <w:t>(4)选用耐旱的植物种子；使用保水能力更强的保水剂</w:t>
      </w:r>
    </w:p>
    <w:p w14:paraId="29D489FB">
      <w:pPr>
        <w:shd w:val="clear" w:color="auto" w:fill="auto"/>
        <w:spacing w:line="360" w:lineRule="auto"/>
        <w:jc w:val="left"/>
        <w:textAlignment w:val="center"/>
        <w:rPr>
          <w:sz w:val="21"/>
        </w:rPr>
      </w:pPr>
      <w:r>
        <w:rPr>
          <w:sz w:val="21"/>
        </w:rPr>
        <w:t>18．(1)抑制</w:t>
      </w:r>
    </w:p>
    <w:p w14:paraId="15B27EFB">
      <w:pPr>
        <w:shd w:val="clear" w:color="auto" w:fill="auto"/>
        <w:spacing w:line="360" w:lineRule="auto"/>
        <w:jc w:val="left"/>
        <w:textAlignment w:val="center"/>
        <w:rPr>
          <w:sz w:val="21"/>
        </w:rPr>
      </w:pPr>
      <w:r>
        <w:rPr>
          <w:sz w:val="21"/>
        </w:rPr>
        <w:t>(2)     OsPEL与细胞核内GLKs结合，抑制PhANGs基因表达     OsPEL与PSA2结合，抑制其进入叶绿体</w:t>
      </w:r>
    </w:p>
    <w:p w14:paraId="1C9433DB">
      <w:pPr>
        <w:shd w:val="clear" w:color="auto" w:fill="auto"/>
        <w:spacing w:line="360" w:lineRule="auto"/>
        <w:jc w:val="left"/>
        <w:textAlignment w:val="center"/>
        <w:rPr>
          <w:sz w:val="21"/>
        </w:rPr>
      </w:pPr>
      <w:r>
        <w:rPr>
          <w:sz w:val="21"/>
        </w:rPr>
        <w:t>(3)     ++     +</w:t>
      </w:r>
    </w:p>
    <w:p w14:paraId="3BDBAD33">
      <w:pPr>
        <w:shd w:val="clear" w:color="auto" w:fill="auto"/>
        <w:spacing w:line="360" w:lineRule="auto"/>
        <w:jc w:val="left"/>
        <w:textAlignment w:val="center"/>
        <w:rPr>
          <w:sz w:val="21"/>
        </w:rPr>
      </w:pPr>
      <w:r>
        <w:rPr>
          <w:sz w:val="21"/>
        </w:rPr>
        <w:t>(4)敲除OsPEL基因，并导入C</w:t>
      </w:r>
      <w:r>
        <w:rPr>
          <w:sz w:val="21"/>
          <w:vertAlign w:val="subscript"/>
        </w:rPr>
        <w:t>4</w:t>
      </w:r>
      <w:r>
        <w:rPr>
          <w:sz w:val="21"/>
        </w:rPr>
        <w:t>途径的相关酶基因</w:t>
      </w:r>
    </w:p>
    <w:p w14:paraId="4EDADF4E">
      <w:pPr>
        <w:shd w:val="clear" w:color="auto" w:fill="auto"/>
        <w:spacing w:line="360" w:lineRule="auto"/>
        <w:jc w:val="left"/>
        <w:textAlignment w:val="center"/>
        <w:rPr>
          <w:sz w:val="21"/>
        </w:rPr>
      </w:pPr>
      <w:r>
        <w:rPr>
          <w:sz w:val="21"/>
        </w:rPr>
        <w:t>（2）结合机制图和已知途径①，可推导出另外两条途径，途径②：OsPEL 与细胞核内的 GLKs 结合，抑制 GLKs 对PhANGs基因的转录激活作用，导致PhANGs基因表达量下降，进而影响光系统 I（PSI）的组装；途径③：OsPEL 在细胞质中与 PSA2 结合，阻止 PSA2 进入叶绿体参与 PSI 的组装，从而抑制 PSI 的形成。</w:t>
      </w:r>
    </w:p>
    <w:p w14:paraId="3371F238">
      <w:pPr>
        <w:shd w:val="clear" w:color="auto" w:fill="auto"/>
        <w:spacing w:line="360" w:lineRule="auto"/>
        <w:jc w:val="left"/>
        <w:textAlignment w:val="center"/>
        <w:rPr>
          <w:sz w:val="21"/>
        </w:rPr>
      </w:pPr>
      <w:r>
        <w:rPr>
          <w:sz w:val="21"/>
        </w:rPr>
        <w:t>（3）实验目的是验证 OsPEL 与 GLKs 结合抑制其进入细胞核，OE 组（OsPEL 过量表达）细胞质中OsPEL 大量表达（红色荧光 ++），会与 GLKs 大量结合在细胞质，因此细胞质中绿色荧光（标记 GLKs）为 ++；细胞核中由于 GLKs 被大量滞留在细胞质，进入细胞核的 GLKs 减少，因此细胞核中绿色荧光为+。</w:t>
      </w:r>
    </w:p>
    <w:p w14:paraId="08CDCD98">
      <w:pPr>
        <w:shd w:val="clear" w:color="auto" w:fill="auto"/>
        <w:spacing w:line="360" w:lineRule="auto"/>
        <w:jc w:val="left"/>
        <w:textAlignment w:val="center"/>
        <w:rPr>
          <w:sz w:val="21"/>
        </w:rPr>
      </w:pPr>
      <w:r>
        <w:rPr>
          <w:sz w:val="21"/>
        </w:rPr>
        <w:t>（4）结合研究结论和玉米的 C</w:t>
      </w:r>
      <w:r>
        <w:rPr>
          <w:sz w:val="21"/>
          <w:vertAlign w:val="subscript"/>
        </w:rPr>
        <w:t xml:space="preserve">4 </w:t>
      </w:r>
      <w:r>
        <w:rPr>
          <w:sz w:val="21"/>
        </w:rPr>
        <w:t>途径优势，培育高产水稻的策略为敲除 OsPEL 基因，解除其对叶绿体发育的抑制，增加维管束鞘细胞叶绿体数量，提升水稻本身的光合效率，并导入 C</w:t>
      </w:r>
      <w:r>
        <w:rPr>
          <w:sz w:val="21"/>
          <w:vertAlign w:val="subscript"/>
        </w:rPr>
        <w:t>4</w:t>
      </w:r>
      <w:r>
        <w:rPr>
          <w:sz w:val="21"/>
        </w:rPr>
        <w:t>途径相关酶基因，使水稻获得玉米特有的高效 CO₂固定能力，进一步增强光合作用，最终实现高产。</w:t>
      </w:r>
    </w:p>
    <w:p w14:paraId="29D79ADA">
      <w:pPr>
        <w:shd w:val="clear" w:color="auto" w:fill="auto"/>
        <w:spacing w:line="360" w:lineRule="auto"/>
        <w:jc w:val="left"/>
        <w:textAlignment w:val="center"/>
        <w:rPr>
          <w:sz w:val="21"/>
        </w:rPr>
      </w:pPr>
      <w:r>
        <w:rPr>
          <w:sz w:val="21"/>
        </w:rPr>
        <w:t>19．(1)     显     随机</w:t>
      </w:r>
      <w:r>
        <w:rPr>
          <w:rFonts w:hint="eastAsia"/>
          <w:sz w:val="21"/>
          <w:lang w:val="en-US" w:eastAsia="zh-CN"/>
        </w:rPr>
        <w:t xml:space="preserve">   </w:t>
      </w:r>
      <w:r>
        <w:rPr>
          <w:sz w:val="21"/>
        </w:rPr>
        <w:t xml:space="preserve">(2)     </w:t>
      </w:r>
      <w:r>
        <w:object>
          <v:shape id="_x0000_i1025" o:spt="75" alt="eqIdd2de2238f1f14d43fb1db40f8770ef88" type="#_x0000_t75" style="height:27.05pt;width:10.55pt;" o:ole="t" filled="f" o:preferrelative="t" stroked="f" coordsize="21600,21600">
            <v:path/>
            <v:fill on="f" focussize="0,0"/>
            <v:stroke on="f" joinstyle="miter"/>
            <v:imagedata r:id="rId23" o:title="eqIdd2de2238f1f14d43fb1db40f8770ef88"/>
            <o:lock v:ext="edit" aspectratio="t"/>
            <w10:wrap type="none"/>
            <w10:anchorlock/>
          </v:shape>
          <o:OLEObject Type="Embed" ProgID="Equation.DSMT4" ShapeID="_x0000_i1025" DrawAspect="Content" ObjectID="_1468075725" r:id="rId22">
            <o:LockedField>false</o:LockedField>
          </o:OLEObject>
        </w:object>
      </w:r>
      <w:r>
        <w:rPr>
          <w:sz w:val="21"/>
        </w:rPr>
        <w:t xml:space="preserve">     1</w:t>
      </w:r>
    </w:p>
    <w:p w14:paraId="2E9E6792">
      <w:pPr>
        <w:shd w:val="clear" w:color="auto" w:fill="auto"/>
        <w:spacing w:line="360" w:lineRule="auto"/>
        <w:jc w:val="left"/>
        <w:textAlignment w:val="center"/>
        <w:rPr>
          <w:sz w:val="21"/>
        </w:rPr>
      </w:pPr>
      <w:r>
        <w:rPr>
          <w:sz w:val="21"/>
        </w:rPr>
        <w:t>(3)     雌性且携带突变基因m     17号染色体被M46标记处</w:t>
      </w:r>
    </w:p>
    <w:p w14:paraId="1A38EFA7">
      <w:pPr>
        <w:shd w:val="clear" w:color="auto" w:fill="auto"/>
        <w:spacing w:line="360" w:lineRule="auto"/>
        <w:jc w:val="left"/>
        <w:textAlignment w:val="center"/>
        <w:rPr>
          <w:sz w:val="21"/>
        </w:rPr>
      </w:pPr>
      <w:r>
        <w:rPr>
          <w:sz w:val="21"/>
        </w:rPr>
        <w:t>(4)调控肾脏细胞增殖的速度，促进异常增殖细胞的凋亡</w:t>
      </w:r>
    </w:p>
    <w:p w14:paraId="2E53F935">
      <w:pPr>
        <w:shd w:val="clear" w:color="auto" w:fill="auto"/>
        <w:spacing w:line="360" w:lineRule="auto"/>
        <w:jc w:val="left"/>
        <w:textAlignment w:val="center"/>
        <w:rPr>
          <w:sz w:val="21"/>
        </w:rPr>
      </w:pPr>
      <w:r>
        <w:rPr>
          <w:sz w:val="21"/>
        </w:rPr>
        <w:t>（2）根据题意可知小鼠A基因型为P</w:t>
      </w:r>
      <w:r>
        <w:rPr>
          <w:sz w:val="21"/>
          <w:vertAlign w:val="superscript"/>
        </w:rPr>
        <w:t>-</w:t>
      </w:r>
      <w:r>
        <w:rPr>
          <w:sz w:val="21"/>
        </w:rPr>
        <w:t>P，若C基因仅插在一条染色体上则小鼠B的基因型为C</w:t>
      </w:r>
      <w:r>
        <w:rPr>
          <w:sz w:val="21"/>
          <w:vertAlign w:val="superscript"/>
        </w:rPr>
        <w:t>+</w:t>
      </w:r>
      <w:r>
        <w:rPr>
          <w:sz w:val="21"/>
        </w:rPr>
        <w:t>P,小鼠B与小鼠A杂交得到F</w:t>
      </w:r>
      <w:r>
        <w:rPr>
          <w:sz w:val="21"/>
          <w:vertAlign w:val="subscript"/>
        </w:rPr>
        <w:t>1</w:t>
      </w:r>
      <w:r>
        <w:rPr>
          <w:sz w:val="21"/>
        </w:rPr>
        <w:t>中只有PP正常，其余均患病，所以F</w:t>
      </w:r>
      <w:r>
        <w:rPr>
          <w:sz w:val="21"/>
          <w:vertAlign w:val="subscript"/>
        </w:rPr>
        <w:t>1</w:t>
      </w:r>
      <w:r>
        <w:rPr>
          <w:sz w:val="21"/>
        </w:rPr>
        <w:t>中多囊肾小鼠占</w:t>
      </w:r>
      <w:r>
        <w:object>
          <v:shape id="_x0000_i1026" o:spt="75" alt="eqIdd2de2238f1f14d43fb1db40f8770ef88" type="#_x0000_t75" style="height:27.05pt;width:10.55pt;" o:ole="t" filled="f" o:preferrelative="t" stroked="f" coordsize="21600,21600">
            <v:path/>
            <v:fill on="f" focussize="0,0"/>
            <v:stroke on="f" joinstyle="miter"/>
            <v:imagedata r:id="rId23" o:title="eqIdd2de2238f1f14d43fb1db40f8770ef88"/>
            <o:lock v:ext="edit" aspectratio="t"/>
            <w10:wrap type="none"/>
            <w10:anchorlock/>
          </v:shape>
          <o:OLEObject Type="Embed" ProgID="Equation.DSMT4" ShapeID="_x0000_i1026" DrawAspect="Content" ObjectID="_1468075726" r:id="rId24">
            <o:LockedField>false</o:LockedField>
          </o:OLEObject>
        </w:object>
      </w:r>
      <w:r>
        <w:rPr>
          <w:sz w:val="21"/>
        </w:rPr>
        <w:t>。若C基因插在2条染色体上，则小鼠B的基因型为C</w:t>
      </w:r>
      <w:r>
        <w:rPr>
          <w:sz w:val="21"/>
          <w:vertAlign w:val="superscript"/>
        </w:rPr>
        <w:t>+</w:t>
      </w:r>
      <w:r>
        <w:rPr>
          <w:sz w:val="21"/>
        </w:rPr>
        <w:t>C</w:t>
      </w:r>
      <w:r>
        <w:rPr>
          <w:sz w:val="21"/>
          <w:vertAlign w:val="superscript"/>
        </w:rPr>
        <w:t>+</w:t>
      </w:r>
      <w:r>
        <w:rPr>
          <w:sz w:val="21"/>
        </w:rPr>
        <w:t>PP（C与P连锁）,因为C基因能在小鼠肾脏体细胞中特异性表达并删除P基因，被敲除成对P基因的细胞也会过度增殖，所以小鼠B与小鼠A杂交得到F</w:t>
      </w:r>
      <w:r>
        <w:rPr>
          <w:sz w:val="21"/>
          <w:vertAlign w:val="subscript"/>
        </w:rPr>
        <w:t>1</w:t>
      </w:r>
      <w:r>
        <w:rPr>
          <w:sz w:val="21"/>
        </w:rPr>
        <w:t>中的小鼠都会含C,故小鼠都会患多囊肾病。</w:t>
      </w:r>
    </w:p>
    <w:p w14:paraId="5AC8F051">
      <w:pPr>
        <w:shd w:val="clear" w:color="auto" w:fill="auto"/>
        <w:spacing w:line="360" w:lineRule="auto"/>
        <w:jc w:val="left"/>
        <w:textAlignment w:val="center"/>
        <w:rPr>
          <w:sz w:val="21"/>
        </w:rPr>
      </w:pPr>
      <w:r>
        <w:rPr>
          <w:sz w:val="21"/>
        </w:rPr>
        <w:t>（3）① G₁是含突变基因m的潜在突变体，G₂是未经EMU处理的模型鼠。G₁与G₂杂交的目的是获得一只同时携带Pkd1突变基因（P</w:t>
      </w:r>
      <w:r>
        <w:rPr>
          <w:sz w:val="21"/>
          <w:vertAlign w:val="superscript"/>
        </w:rPr>
        <w:t>-</w:t>
      </w:r>
      <w:r>
        <w:rPr>
          <w:sz w:val="21"/>
        </w:rPr>
        <w:t>）和突变基因m（或同时携带突变基因m和多囊肾病致病基因）的G₃，作为种鼠有繁殖下一代的作用，所以G₃是携带突变基因m的雌鼠。</w:t>
      </w:r>
    </w:p>
    <w:p w14:paraId="605F5653">
      <w:pPr>
        <w:shd w:val="clear" w:color="auto" w:fill="auto"/>
        <w:spacing w:line="360" w:lineRule="auto"/>
        <w:jc w:val="left"/>
        <w:textAlignment w:val="center"/>
        <w:rPr>
          <w:sz w:val="21"/>
        </w:rPr>
      </w:pPr>
      <w:r>
        <w:rPr>
          <w:sz w:val="21"/>
        </w:rPr>
        <w:t xml:space="preserve">② 分子标记与突变基因m的连锁关系越紧密，在减数分裂时发生重组的概率就越低。在20只肾正常小鼠中： 17号染色体上的分子标记M46，所有个体的标记均来自G₁（“+”个体数为20，“+/-”个体数为0），说明M46与突变基因m几乎完全连锁，没有发生重组。 其他分子标记（如M5、M65、M246、M113、M143）均有“+/-”个体，说明与m存在一定程度的重组。 因此，突变基因m最可能位于17号染色体的M46标记处。 </w:t>
      </w:r>
    </w:p>
    <w:p w14:paraId="0EE183B5">
      <w:pPr>
        <w:shd w:val="clear" w:color="auto" w:fill="auto"/>
        <w:spacing w:line="360" w:lineRule="auto"/>
        <w:jc w:val="left"/>
        <w:textAlignment w:val="center"/>
        <w:rPr>
          <w:sz w:val="21"/>
        </w:rPr>
      </w:pPr>
      <w:r>
        <w:rPr>
          <w:sz w:val="21"/>
        </w:rPr>
        <w:t>（4）根据题意可知基因M替换成突变基因m后小鼠A的囊肿“逆转”，肾脏结构和功能恢复正常这说明m基因可以调控肾脏细胞增殖的速度，促进异常增殖细胞的凋亡。</w:t>
      </w:r>
    </w:p>
    <w:p w14:paraId="29DEB7FE">
      <w:pPr>
        <w:shd w:val="clear" w:color="auto" w:fill="auto"/>
        <w:spacing w:line="360" w:lineRule="auto"/>
        <w:jc w:val="left"/>
        <w:textAlignment w:val="center"/>
        <w:rPr>
          <w:sz w:val="21"/>
        </w:rPr>
      </w:pPr>
      <w:r>
        <w:rPr>
          <w:sz w:val="21"/>
        </w:rPr>
        <w:t>20．(1)     免疫监视     （特异性）受体</w:t>
      </w:r>
      <w:r>
        <w:rPr>
          <w:rFonts w:hint="eastAsia"/>
          <w:sz w:val="21"/>
          <w:lang w:val="en-US" w:eastAsia="zh-CN"/>
        </w:rPr>
        <w:t xml:space="preserve">  </w:t>
      </w:r>
      <w:r>
        <w:rPr>
          <w:sz w:val="21"/>
        </w:rPr>
        <w:t>(2)舌部伤害神经元→TDLN-iNN</w:t>
      </w:r>
    </w:p>
    <w:p w14:paraId="3DB43B22">
      <w:pPr>
        <w:shd w:val="clear" w:color="auto" w:fill="auto"/>
        <w:spacing w:line="360" w:lineRule="auto"/>
        <w:jc w:val="left"/>
        <w:textAlignment w:val="center"/>
        <w:rPr>
          <w:sz w:val="21"/>
        </w:rPr>
      </w:pPr>
      <w:r>
        <w:rPr>
          <w:sz w:val="21"/>
        </w:rPr>
        <w:t>(3)     快     在TDLNs周围注射CGRP     抑制TDLNs内细胞毒性T细胞（CTL/抗肿瘤免疫细胞）的活化</w:t>
      </w:r>
    </w:p>
    <w:p w14:paraId="3412DB6D">
      <w:pPr>
        <w:shd w:val="clear" w:color="auto" w:fill="auto"/>
        <w:spacing w:line="360" w:lineRule="auto"/>
        <w:jc w:val="left"/>
        <w:textAlignment w:val="center"/>
        <w:rPr>
          <w:sz w:val="21"/>
        </w:rPr>
      </w:pPr>
      <w:r>
        <w:rPr>
          <w:sz w:val="21"/>
        </w:rPr>
        <w:t>(4)SLIT2抗体与SLIT2结合，抑制舌部伤害神经元兴奋，一方面可缓解癌痛，另一方面可增加迁移到口腔的CTL数量（，从而提高疗效）</w:t>
      </w:r>
    </w:p>
    <w:p w14:paraId="0DC73E2E">
      <w:pPr>
        <w:shd w:val="clear" w:color="auto" w:fill="auto"/>
        <w:spacing w:line="360" w:lineRule="auto"/>
        <w:jc w:val="left"/>
        <w:textAlignment w:val="center"/>
        <w:rPr>
          <w:sz w:val="21"/>
        </w:rPr>
      </w:pPr>
      <w:r>
        <w:rPr>
          <w:sz w:val="21"/>
        </w:rPr>
        <w:t>（2）从柱状图可知，A 组（野生鼠 + 蓝光刺激）c-Fos 表达量低； B 组（模型鼠 + 蓝光刺激）c-Fos 表达量显著升高，说明伤害神经元被激活，C 组（模型鼠 + 无蓝光刺激）c-Fos 表达量又下降，结合题干口腔癌细胞通过伤害神经元介导的神经通路对 TDLNs 实施免疫调控，可推测通路为口腔癌细胞→舌部伤害神经元→TDLN-iNN→TDLNs</w:t>
      </w:r>
    </w:p>
    <w:p w14:paraId="52FED86D">
      <w:pPr>
        <w:shd w:val="clear" w:color="auto" w:fill="auto"/>
        <w:spacing w:line="360" w:lineRule="auto"/>
        <w:jc w:val="left"/>
        <w:textAlignment w:val="center"/>
        <w:rPr>
          <w:sz w:val="21"/>
        </w:rPr>
      </w:pPr>
      <w:r>
        <w:rPr>
          <w:sz w:val="21"/>
        </w:rPr>
        <w:t>（3）①甲组为无树脂毒素处理（伤害神经元功能正常，神经通路激活），乙组为树脂毒素处理（伤害神经元功能丧失，神经通路阻断），若神经通路激活促进肿瘤生长，则甲组肿瘤生长速度快于乙组。</w:t>
      </w:r>
    </w:p>
    <w:p w14:paraId="7347331B">
      <w:pPr>
        <w:shd w:val="clear" w:color="auto" w:fill="auto"/>
        <w:spacing w:line="360" w:lineRule="auto"/>
        <w:jc w:val="left"/>
        <w:textAlignment w:val="center"/>
        <w:rPr>
          <w:sz w:val="21"/>
        </w:rPr>
      </w:pPr>
      <w:r>
        <w:rPr>
          <w:sz w:val="21"/>
        </w:rPr>
        <w:t xml:space="preserve">②已知 CGRP 是伤害神经元激活后释放的免疫调控物质，乙组小鼠伤害神经元功能已丧失，要证明 “神经通路通过释放 CGRP 调控 TDLNs”，需在乙组小鼠的TDLNs 周围注射 CGRP，若肿瘤生长加快，则说明 CGRP 可替代神经通路的作用。 </w:t>
      </w:r>
    </w:p>
    <w:p w14:paraId="20BEFA4D">
      <w:pPr>
        <w:shd w:val="clear" w:color="auto" w:fill="auto"/>
        <w:spacing w:line="360" w:lineRule="auto"/>
        <w:jc w:val="left"/>
        <w:textAlignment w:val="center"/>
        <w:rPr>
          <w:sz w:val="21"/>
        </w:rPr>
      </w:pPr>
      <w:r>
        <w:rPr>
          <w:sz w:val="21"/>
        </w:rPr>
        <w:t>③接受乙组小鼠（神经通路被阻断，CTL 功能未被抑制）免疫细胞的受体小鼠，肿瘤体积更小，这说明甲组小鼠（神经通路激活）的 TDLNs 内 CTL 功能被抑制，因此假设为CGRP 能抑制TDLNs内细胞毒性T细胞（CTL/抗肿瘤免疫细胞）的活化，从而削弱免疫监视，促进肿瘤生长。</w:t>
      </w:r>
    </w:p>
    <w:p w14:paraId="0619AEAB">
      <w:pPr>
        <w:shd w:val="clear" w:color="auto" w:fill="auto"/>
        <w:spacing w:line="360" w:lineRule="auto"/>
        <w:jc w:val="left"/>
        <w:textAlignment w:val="center"/>
        <w:rPr>
          <w:sz w:val="21"/>
        </w:rPr>
      </w:pPr>
      <w:r>
        <w:rPr>
          <w:sz w:val="21"/>
        </w:rPr>
        <w:t>（4）与单纯免疫检查点疗法相比，SLIT2 抗体 + 免疫检查点疗法的联合方案中，SLIT2 抗体与 SLIT2 结合，阻断其对舌部伤害神经元的激活作用，从而减少痛觉信号向大脑皮层的传递，缓解癌痛；抑制伤害神经元兴奋后，可阻断其对 TDLNs 的免疫抑制调控，使更多 CTL 细胞迁移至口腔癌组织，增强对癌细胞的杀伤效果，提升整体疗效。</w:t>
      </w:r>
    </w:p>
    <w:p w14:paraId="0FE42AB8">
      <w:pPr>
        <w:shd w:val="clear" w:color="auto" w:fill="auto"/>
        <w:spacing w:line="360" w:lineRule="auto"/>
        <w:jc w:val="left"/>
        <w:textAlignment w:val="center"/>
        <w:rPr>
          <w:sz w:val="21"/>
        </w:rPr>
      </w:pPr>
      <w:r>
        <w:rPr>
          <w:sz w:val="21"/>
        </w:rPr>
        <w:t>21．(1)     基质     翻译</w:t>
      </w:r>
      <w:r>
        <w:rPr>
          <w:rFonts w:hint="eastAsia"/>
          <w:sz w:val="21"/>
          <w:lang w:val="en-US" w:eastAsia="zh-CN"/>
        </w:rPr>
        <w:t xml:space="preserve"> </w:t>
      </w:r>
      <w:r>
        <w:rPr>
          <w:sz w:val="21"/>
        </w:rPr>
        <w:t xml:space="preserve">(2)     B     红     Ptrc-box     </w:t>
      </w:r>
      <w:r>
        <w:rPr>
          <w:rFonts w:ascii="Times New Roman" w:hAnsi="Times New Roman" w:eastAsia="Times New Roman" w:cs="Times New Roman"/>
          <w:strike w:val="0"/>
          <w:kern w:val="0"/>
          <w:sz w:val="24"/>
          <w:szCs w:val="24"/>
          <w:u w:val="none"/>
        </w:rPr>
        <w:drawing>
          <wp:inline distT="0" distB="0" distL="114300" distR="114300">
            <wp:extent cx="2714625" cy="723900"/>
            <wp:effectExtent l="0" t="0" r="9525" b="0"/>
            <wp:docPr id="182014333" name="图片 182014333" descr="@@@4b2c6ba2-d845-4506-8be2-fe290f8083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14333" name="图片 182014333" descr="@@@4b2c6ba2-d845-4506-8be2-fe290f8083cf"/>
                    <pic:cNvPicPr>
                      <a:picLocks noChangeAspect="1"/>
                    </pic:cNvPicPr>
                  </pic:nvPicPr>
                  <pic:blipFill>
                    <a:blip r:embed="rId25"/>
                    <a:stretch>
                      <a:fillRect/>
                    </a:stretch>
                  </pic:blipFill>
                  <pic:spPr>
                    <a:xfrm>
                      <a:off x="0" y="0"/>
                      <a:ext cx="2714625" cy="723900"/>
                    </a:xfrm>
                    <a:prstGeom prst="rect">
                      <a:avLst/>
                    </a:prstGeom>
                  </pic:spPr>
                </pic:pic>
              </a:graphicData>
            </a:graphic>
          </wp:inline>
        </w:drawing>
      </w:r>
      <w:bookmarkStart w:id="0" w:name="_GoBack"/>
      <w:bookmarkEnd w:id="0"/>
    </w:p>
    <w:p w14:paraId="06B223D0">
      <w:pPr>
        <w:shd w:val="clear" w:color="auto" w:fill="auto"/>
        <w:spacing w:line="360" w:lineRule="auto"/>
        <w:jc w:val="left"/>
        <w:textAlignment w:val="center"/>
        <w:rPr>
          <w:sz w:val="21"/>
        </w:rPr>
      </w:pPr>
      <w:r>
        <w:rPr>
          <w:sz w:val="21"/>
        </w:rPr>
        <w:t>(3)     ①用vlmD酶基因替换质粒1中的mCherry基因；②asgltA基因替换质粒2中的GFP基因；③敲除菌株L1的vlmD基因     丙酮酸浓度≥2g/L</w:t>
      </w:r>
    </w:p>
    <w:p w14:paraId="04C10D65">
      <w:pPr>
        <w:shd w:val="clear" w:color="auto" w:fill="auto"/>
        <w:spacing w:line="360" w:lineRule="auto"/>
        <w:jc w:val="left"/>
        <w:textAlignment w:val="center"/>
        <w:rPr>
          <w:sz w:val="21"/>
        </w:rPr>
      </w:pPr>
      <w:r>
        <w:rPr>
          <w:sz w:val="21"/>
        </w:rPr>
        <w:t>【详解】（1）真核细胞的 TCA 循环发生在线粒体基质，线粒体内膜是有氧呼吸第三阶段的场所。asgltA 转录的 RNA 与 gltA 的 mRNA 结合形成双链，会阻碍核糖体与 mRNA 结合，使翻译过程受阻，减少丙酮酸进入 TCA 循环，为异丁胺合成积累原料。</w:t>
      </w:r>
    </w:p>
    <w:p w14:paraId="2747CBA3">
      <w:pPr>
        <w:shd w:val="clear" w:color="auto" w:fill="auto"/>
        <w:spacing w:line="360" w:lineRule="auto"/>
        <w:jc w:val="left"/>
        <w:textAlignment w:val="center"/>
        <w:rPr>
          <w:sz w:val="21"/>
        </w:rPr>
      </w:pPr>
      <w:r>
        <w:rPr>
          <w:sz w:val="21"/>
        </w:rPr>
        <w:t xml:space="preserve">（2）①将 pdhR 基因插入质粒 2 的 B 处，使 pdhR 表达受温度调控，进而通过 pdhR 调控质粒 1 的 mCherry，实现温度和丙酮酸的控制，30℃时 CI 蛋白形成二聚体，抑制 pdhR 表达→无 pdhR 抑制 Ptrc→mCherry（红色荧光）持续表达，故菌株发红光。 </w:t>
      </w:r>
    </w:p>
    <w:p w14:paraId="2470CD95">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anchor distT="0" distB="0" distL="114300" distR="114300" simplePos="0" relativeHeight="251660288" behindDoc="0" locked="0" layoutInCell="1" allowOverlap="1">
            <wp:simplePos x="0" y="0"/>
            <wp:positionH relativeFrom="column">
              <wp:posOffset>1252220</wp:posOffset>
            </wp:positionH>
            <wp:positionV relativeFrom="paragraph">
              <wp:posOffset>790575</wp:posOffset>
            </wp:positionV>
            <wp:extent cx="2428875" cy="647700"/>
            <wp:effectExtent l="0" t="0" r="9525" b="0"/>
            <wp:wrapNone/>
            <wp:docPr id="674003896" name="图片 674003896" descr="@@@329053b2-f00e-44a2-b579-713c3a3cbe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003896" name="图片 674003896" descr="@@@329053b2-f00e-44a2-b579-713c3a3cbee2"/>
                    <pic:cNvPicPr>
                      <a:picLocks noChangeAspect="1"/>
                    </pic:cNvPicPr>
                  </pic:nvPicPr>
                  <pic:blipFill>
                    <a:blip r:embed="rId25"/>
                    <a:stretch>
                      <a:fillRect/>
                    </a:stretch>
                  </pic:blipFill>
                  <pic:spPr>
                    <a:xfrm>
                      <a:off x="0" y="0"/>
                      <a:ext cx="2428875" cy="647700"/>
                    </a:xfrm>
                    <a:prstGeom prst="rect">
                      <a:avLst/>
                    </a:prstGeom>
                  </pic:spPr>
                </pic:pic>
              </a:graphicData>
            </a:graphic>
          </wp:anchor>
        </w:drawing>
      </w:r>
      <w:r>
        <w:rPr>
          <w:sz w:val="21"/>
        </w:rPr>
        <w:t>②实验为凝胶迁移实验，P 是无荧光标记的Ptrc-box，用于验证 pdhR 与该启动子的直接结合，实验仅检测荧光标记的 Ptrc-box，与泳道 2相比，泳道 5 的 pdhR 与标记 Ptrc-box 的结合效率完全相同，因此条带 1 的宽度与泳道 2 一致，条带 2 的宽度也与泳道 2 一致，补充可能的条带宽度如图：</w:t>
      </w:r>
    </w:p>
    <w:p w14:paraId="4660A9D1">
      <w:pPr>
        <w:shd w:val="clear" w:color="auto" w:fill="auto"/>
        <w:spacing w:line="360" w:lineRule="auto"/>
        <w:jc w:val="left"/>
        <w:textAlignment w:val="center"/>
        <w:rPr>
          <w:sz w:val="21"/>
        </w:rPr>
      </w:pPr>
    </w:p>
    <w:p w14:paraId="56334BFD">
      <w:pPr>
        <w:shd w:val="clear" w:color="auto" w:fill="auto"/>
        <w:spacing w:line="360" w:lineRule="auto"/>
        <w:jc w:val="left"/>
        <w:textAlignment w:val="center"/>
        <w:rPr>
          <w:sz w:val="21"/>
        </w:rPr>
      </w:pPr>
      <w:r>
        <w:rPr>
          <w:sz w:val="21"/>
        </w:rPr>
        <w:t>（3）对菌株L1的质粒和遗传物质进行改造，可以替换 mCherry 为 vlmD，将异丁胺合成关键酶置于 温度 + 丙酮酸调控下； 替换 GFP 为 asgltA，将 抑制生长置于温度调控下； 敲除内源 VlmD，避免原有酶干扰，确保产物合成受控。37℃asgltA 表达，菌体正常生长，丙酮酸逐步积累，当丙酮酸浓度≥2g/L时，切换至 30℃，asgltA 表达抑制生长，vlmD 持续表达，丙酮酸全部用于合成异丁胺，实现产量最大化。</w:t>
      </w:r>
    </w:p>
    <w:sectPr>
      <w:headerReference r:id="rId5" w:type="default"/>
      <w:footerReference r:id="rId7" w:type="default"/>
      <w:headerReference r:id="rId6" w:type="even"/>
      <w:footerReference r:id="rId8" w:type="even"/>
      <w:pgSz w:w="11907" w:h="16839"/>
      <w:pgMar w:top="1440" w:right="1633" w:bottom="1440" w:left="1633" w:header="851" w:footer="425"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32B875">
    <w:pPr>
      <w:jc w:val="center"/>
    </w:pPr>
    <w:r>
      <w:rPr>
        <w:rFonts w:hint="eastAsia"/>
        <w:lang w:val="en-US" w:eastAsia="zh-CN"/>
      </w:rPr>
      <w:t>暑假综合练习卷第5套</w:t>
    </w:r>
    <w:r>
      <w:rPr>
        <w:rFonts w:hint="eastAsia"/>
      </w:rPr>
      <w:t>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CF2019">
    <w:pPr>
      <w:jc w:val="center"/>
    </w:pPr>
    <w:r>
      <w:rPr>
        <w:rFonts w:hint="eastAsia"/>
        <w:lang w:val="en-US" w:eastAsia="zh-CN"/>
      </w:rPr>
      <w:t>暑假综合练习卷第5套</w:t>
    </w:r>
    <w:r>
      <w:rPr>
        <w:rFonts w:hint="eastAsia"/>
      </w:rPr>
      <w:t>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E70C00">
    <w:pPr>
      <w:jc w:val="center"/>
    </w:pPr>
    <w:r>
      <w:rPr>
        <w:rFonts w:hint="eastAsia"/>
        <w:lang w:val="en-US" w:eastAsia="zh-CN"/>
      </w:rPr>
      <w:t>暑假综合练习卷第5套</w:t>
    </w: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1F1438">
    <w:pPr>
      <w:jc w:val="center"/>
    </w:pPr>
    <w:r>
      <w:rPr>
        <w:rFonts w:hint="eastAsia"/>
        <w:lang w:val="en-US" w:eastAsia="zh-CN"/>
      </w:rPr>
      <w:t>暑假综合练习卷第5套</w:t>
    </w: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04B936"/>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AE30C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3C11A96"/>
    <w:multiLevelType w:val="singleLevel"/>
    <w:tmpl w:val="73C11A96"/>
    <w:lvl w:ilvl="0" w:tentative="0">
      <w:start w:val="4"/>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9"/>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806B0"/>
    <w:rsid w:val="00E476EE"/>
    <w:rsid w:val="00EF035E"/>
    <w:rsid w:val="00F16B29"/>
    <w:rsid w:val="00FA429B"/>
    <w:rsid w:val="086C6032"/>
    <w:rsid w:val="28AE22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sz w:val="18"/>
      <w:szCs w:val="18"/>
    </w:rPr>
  </w:style>
  <w:style w:type="character" w:customStyle="1" w:styleId="7">
    <w:name w:val="页脚 Char"/>
    <w:basedOn w:val="5"/>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footer" Target="footer2.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customXml" Target="../customXml/item2.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14.png"/><Relationship Id="rId24" Type="http://schemas.openxmlformats.org/officeDocument/2006/relationships/oleObject" Target="embeddings/oleObject2.bin"/><Relationship Id="rId23" Type="http://schemas.openxmlformats.org/officeDocument/2006/relationships/image" Target="media/image13.wmf"/><Relationship Id="rId22" Type="http://schemas.openxmlformats.org/officeDocument/2006/relationships/oleObject" Target="embeddings/oleObject1.bin"/><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17</Pages>
  <Words>7862</Words>
  <Characters>8762</Characters>
  <Lines>0</Lines>
  <Paragraphs>0</Paragraphs>
  <TotalTime>12</TotalTime>
  <ScaleCrop>false</ScaleCrop>
  <LinksUpToDate>false</LinksUpToDate>
  <CharactersWithSpaces>8853</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程然</cp:lastModifiedBy>
  <dcterms:modified xsi:type="dcterms:W3CDTF">2026-06-24T05:56:53Z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IGC">
    <vt:lpwstr>{{"ContentPropagator":"XKW","Label":"2","ContentProducer":"XKW"}}</vt:lpwstr>
  </property>
  <property fmtid="{D5CDD505-2E9C-101B-9397-08002B2CF9AE}" pid="3" name="preprocessed">
    <vt:lpwstr>1</vt:lpwstr>
  </property>
  <property fmtid="{D5CDD505-2E9C-101B-9397-08002B2CF9AE}" pid="4" name="version">
    <vt:lpwstr>b3f7f300f99a44d089722f2f04706a2cmzk3mdexntg3na</vt:lpwstr>
  </property>
  <property fmtid="{D5CDD505-2E9C-101B-9397-08002B2CF9AE}" pid="5" name="KSOTemplateDocerSaveRecord">
    <vt:lpwstr>eyJoZGlkIjoiNmQxN2VjN2FiODlmMmM5M2FlNjI4NDFjODI2MjYyMTMiLCJ1c2VySWQiOiIxMTQ0ODIyMjAyIn0=</vt:lpwstr>
  </property>
  <property fmtid="{D5CDD505-2E9C-101B-9397-08002B2CF9AE}" pid="6" name="KSOProductBuildVer">
    <vt:lpwstr>2052-12.1.0.26895</vt:lpwstr>
  </property>
  <property fmtid="{D5CDD505-2E9C-101B-9397-08002B2CF9AE}" pid="7" name="ICV">
    <vt:lpwstr>C0C9C766AD4B4C9DA57102FE163B4C25_12</vt:lpwstr>
  </property>
</Properties>
</file>