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2910F2">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hint="default" w:ascii="宋体" w:hAnsi="宋体" w:eastAsia="宋体" w:cs="宋体"/>
          <w:b/>
          <w:color w:val="auto"/>
          <w:sz w:val="32"/>
          <w:szCs w:val="32"/>
          <w:lang w:val="en-US" w:eastAsia="zh-CN"/>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12700" cy="12700"/>
                    </a:xfrm>
                    <a:prstGeom prst="rect">
                      <a:avLst/>
                    </a:prstGeom>
                  </pic:spPr>
                </pic:pic>
              </a:graphicData>
            </a:graphic>
          </wp:inline>
        </w:drawing>
      </w:r>
      <w:r>
        <w:rPr>
          <w:rFonts w:hint="eastAsia" w:ascii="宋体" w:hAnsi="宋体" w:cs="宋体"/>
          <w:b/>
          <w:color w:val="auto"/>
          <w:sz w:val="32"/>
          <w:szCs w:val="32"/>
          <w:lang w:val="en-US" w:eastAsia="zh-CN"/>
        </w:rPr>
        <w:t>深圳外国语学校高中部2027届暑假生物综合练习卷（七）</w:t>
      </w:r>
    </w:p>
    <w:p w14:paraId="633C9DCC">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color w:val="auto"/>
          <w:sz w:val="24"/>
        </w:rPr>
      </w:pPr>
      <w:r>
        <w:rPr>
          <w:rFonts w:ascii="宋体" w:hAnsi="宋体" w:eastAsia="宋体" w:cs="宋体"/>
          <w:b/>
          <w:color w:val="auto"/>
          <w:sz w:val="24"/>
        </w:rPr>
        <w:t>本试卷共</w:t>
      </w:r>
      <w:r>
        <w:rPr>
          <w:rFonts w:hint="eastAsia" w:cs="Times New Roman"/>
          <w:b/>
          <w:color w:val="auto"/>
          <w:sz w:val="24"/>
          <w:lang w:val="en-US" w:eastAsia="zh-CN"/>
        </w:rPr>
        <w:t>7</w:t>
      </w:r>
      <w:r>
        <w:rPr>
          <w:rFonts w:ascii="宋体" w:hAnsi="宋体" w:eastAsia="宋体" w:cs="宋体"/>
          <w:b/>
          <w:color w:val="auto"/>
          <w:sz w:val="24"/>
        </w:rPr>
        <w:t>页，</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hint="eastAsia" w:cs="Times New Roman"/>
          <w:b/>
          <w:color w:val="auto"/>
          <w:sz w:val="24"/>
          <w:lang w:val="en-US" w:eastAsia="zh-CN"/>
        </w:rPr>
        <w:t>75</w:t>
      </w:r>
      <w:r>
        <w:rPr>
          <w:rFonts w:ascii="宋体" w:hAnsi="宋体" w:eastAsia="宋体" w:cs="宋体"/>
          <w:b/>
          <w:color w:val="auto"/>
          <w:sz w:val="24"/>
        </w:rPr>
        <w:t>分钟。</w:t>
      </w:r>
    </w:p>
    <w:p w14:paraId="4E8CBCE8">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color w:val="auto"/>
          <w:sz w:val="24"/>
        </w:rPr>
      </w:pPr>
    </w:p>
    <w:p w14:paraId="2E0BAE87">
      <w:pPr>
        <w:keepNext w:val="0"/>
        <w:keepLines w:val="0"/>
        <w:pageBreakBefore w:val="0"/>
        <w:widowControl w:val="0"/>
        <w:kinsoku/>
        <w:wordWrap/>
        <w:overflowPunct/>
        <w:topLinePunct w:val="0"/>
        <w:autoSpaceDE/>
        <w:autoSpaceDN/>
        <w:bidi w:val="0"/>
        <w:adjustRightInd/>
        <w:snapToGrid/>
        <w:spacing w:line="276" w:lineRule="auto"/>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r>
        <w:rPr>
          <w:rFonts w:hint="eastAsia" w:ascii="宋体" w:hAnsi="宋体" w:eastAsia="宋体" w:cs="宋体"/>
          <w:b/>
          <w:color w:val="auto"/>
          <w:sz w:val="18"/>
          <w:szCs w:val="16"/>
          <w:lang w:eastAsia="zh-CN"/>
        </w:rPr>
        <w:t>（</w:t>
      </w:r>
      <w:r>
        <w:rPr>
          <w:rFonts w:ascii="宋体" w:hAnsi="宋体" w:eastAsia="宋体" w:cs="宋体"/>
          <w:b/>
          <w:color w:val="auto"/>
          <w:sz w:val="18"/>
          <w:szCs w:val="16"/>
        </w:rPr>
        <w:t>共</w:t>
      </w:r>
      <w:r>
        <w:rPr>
          <w:rFonts w:ascii="Times New Roman" w:hAnsi="Times New Roman" w:eastAsia="Times New Roman" w:cs="Times New Roman"/>
          <w:b/>
          <w:color w:val="auto"/>
          <w:sz w:val="18"/>
          <w:szCs w:val="16"/>
        </w:rPr>
        <w:t>1</w:t>
      </w:r>
      <w:r>
        <w:rPr>
          <w:rFonts w:hint="eastAsia" w:cs="Times New Roman"/>
          <w:b/>
          <w:color w:val="auto"/>
          <w:sz w:val="18"/>
          <w:szCs w:val="16"/>
          <w:lang w:val="en-US" w:eastAsia="zh-CN"/>
        </w:rPr>
        <w:t>6</w:t>
      </w:r>
      <w:r>
        <w:rPr>
          <w:rFonts w:ascii="宋体" w:hAnsi="宋体" w:eastAsia="宋体" w:cs="宋体"/>
          <w:b/>
          <w:color w:val="auto"/>
          <w:sz w:val="18"/>
          <w:szCs w:val="16"/>
        </w:rPr>
        <w:t>题</w:t>
      </w:r>
      <w:r>
        <w:rPr>
          <w:rFonts w:hint="eastAsia" w:ascii="宋体" w:hAnsi="宋体" w:cs="宋体"/>
          <w:b/>
          <w:color w:val="auto"/>
          <w:sz w:val="18"/>
          <w:szCs w:val="16"/>
          <w:lang w:eastAsia="zh-CN"/>
        </w:rPr>
        <w:t>，</w:t>
      </w:r>
      <w:r>
        <w:rPr>
          <w:rFonts w:ascii="宋体" w:hAnsi="宋体" w:eastAsia="宋体" w:cs="宋体"/>
          <w:b/>
          <w:color w:val="auto"/>
          <w:sz w:val="18"/>
          <w:szCs w:val="16"/>
        </w:rPr>
        <w:t>共</w:t>
      </w:r>
      <w:r>
        <w:rPr>
          <w:rFonts w:hint="eastAsia" w:cs="Times New Roman"/>
          <w:b/>
          <w:color w:val="auto"/>
          <w:sz w:val="18"/>
          <w:szCs w:val="16"/>
          <w:lang w:val="en-US" w:eastAsia="zh-CN"/>
        </w:rPr>
        <w:t>40</w:t>
      </w:r>
      <w:r>
        <w:rPr>
          <w:rFonts w:ascii="宋体" w:hAnsi="宋体" w:eastAsia="宋体" w:cs="宋体"/>
          <w:b/>
          <w:color w:val="auto"/>
          <w:sz w:val="18"/>
          <w:szCs w:val="16"/>
        </w:rPr>
        <w:t>分</w:t>
      </w:r>
      <w:r>
        <w:rPr>
          <w:rFonts w:hint="eastAsia" w:ascii="宋体" w:hAnsi="宋体" w:cs="宋体"/>
          <w:b/>
          <w:color w:val="auto"/>
          <w:sz w:val="18"/>
          <w:szCs w:val="16"/>
          <w:lang w:eastAsia="zh-CN"/>
        </w:rPr>
        <w:t>。</w:t>
      </w:r>
      <w:r>
        <w:rPr>
          <w:rFonts w:hint="eastAsia" w:ascii="宋体" w:hAnsi="宋体" w:cs="宋体"/>
          <w:b/>
          <w:color w:val="auto"/>
          <w:sz w:val="18"/>
          <w:szCs w:val="16"/>
          <w:lang w:val="en-US" w:eastAsia="zh-CN"/>
        </w:rPr>
        <w:t>1-12题，</w:t>
      </w:r>
      <w:r>
        <w:rPr>
          <w:rFonts w:ascii="宋体" w:hAnsi="宋体" w:eastAsia="宋体" w:cs="宋体"/>
          <w:b/>
          <w:color w:val="auto"/>
          <w:sz w:val="18"/>
          <w:szCs w:val="16"/>
        </w:rPr>
        <w:t>每题</w:t>
      </w:r>
      <w:r>
        <w:rPr>
          <w:rFonts w:ascii="Times New Roman" w:hAnsi="Times New Roman" w:eastAsia="Times New Roman" w:cs="Times New Roman"/>
          <w:b/>
          <w:color w:val="auto"/>
          <w:sz w:val="18"/>
          <w:szCs w:val="16"/>
        </w:rPr>
        <w:t>2</w:t>
      </w:r>
      <w:r>
        <w:rPr>
          <w:rFonts w:ascii="宋体" w:hAnsi="宋体" w:eastAsia="宋体" w:cs="宋体"/>
          <w:b/>
          <w:color w:val="auto"/>
          <w:sz w:val="18"/>
          <w:szCs w:val="16"/>
        </w:rPr>
        <w:t>分</w:t>
      </w:r>
      <w:r>
        <w:rPr>
          <w:rFonts w:hint="eastAsia" w:ascii="宋体" w:hAnsi="宋体" w:cs="宋体"/>
          <w:b/>
          <w:color w:val="auto"/>
          <w:sz w:val="18"/>
          <w:szCs w:val="16"/>
          <w:lang w:eastAsia="zh-CN"/>
        </w:rPr>
        <w:t>；</w:t>
      </w:r>
      <w:r>
        <w:rPr>
          <w:rFonts w:hint="eastAsia" w:ascii="宋体" w:hAnsi="宋体" w:cs="宋体"/>
          <w:b/>
          <w:color w:val="auto"/>
          <w:sz w:val="18"/>
          <w:szCs w:val="16"/>
          <w:lang w:val="en-US" w:eastAsia="zh-CN"/>
        </w:rPr>
        <w:t>13—16题，每题4分</w:t>
      </w:r>
      <w:r>
        <w:rPr>
          <w:rFonts w:ascii="宋体" w:hAnsi="宋体" w:eastAsia="宋体" w:cs="宋体"/>
          <w:b/>
          <w:color w:val="auto"/>
          <w:sz w:val="18"/>
          <w:szCs w:val="16"/>
        </w:rPr>
        <w:t>。</w:t>
      </w:r>
      <w:r>
        <w:rPr>
          <w:rFonts w:hint="eastAsia" w:ascii="宋体" w:hAnsi="宋体" w:cs="宋体"/>
          <w:b/>
          <w:color w:val="auto"/>
          <w:sz w:val="18"/>
          <w:szCs w:val="16"/>
          <w:lang w:eastAsia="zh-CN"/>
        </w:rPr>
        <w:t>）</w:t>
      </w:r>
    </w:p>
    <w:p w14:paraId="3E2D4AC0">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420" w:hanging="420" w:hangingChars="200"/>
        <w:jc w:val="left"/>
        <w:textAlignment w:val="center"/>
        <w:rPr>
          <w:sz w:val="21"/>
        </w:rPr>
      </w:pPr>
      <w:r>
        <w:rPr>
          <w:sz w:val="21"/>
        </w:rPr>
        <w:t>1．长江十年禁渔实施以来，长江鱼类资源和生物多样性恢复持续向好，顶级捕食者长江江豚种群数量增长已超30%。下列叙述错误的是（</w:t>
      </w:r>
      <w:r>
        <w:rPr>
          <w:rFonts w:ascii="Times New Roman" w:hAnsi="Times New Roman" w:eastAsia="Times New Roman" w:cs="Times New Roman"/>
          <w:kern w:val="0"/>
          <w:sz w:val="24"/>
          <w:szCs w:val="24"/>
        </w:rPr>
        <w:t>     </w:t>
      </w:r>
      <w:r>
        <w:rPr>
          <w:sz w:val="21"/>
        </w:rPr>
        <w:t>）</w:t>
      </w:r>
    </w:p>
    <w:p w14:paraId="76BADF2E">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A．长江生物多样性恢复说明人类活动可改变群落演替的方向</w:t>
      </w:r>
    </w:p>
    <w:p w14:paraId="05AA283D">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B．长江江豚种群数量增加说明能量传递至最高营养级的效率增加</w:t>
      </w:r>
    </w:p>
    <w:p w14:paraId="4351B097">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C．禁渔措施减小了环境阻力，提升了长江江豚的环境容纳量</w:t>
      </w:r>
    </w:p>
    <w:p w14:paraId="40D85000">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D．长江江豚种群数量增加体现了禁渔这一就地保护措施的有效性</w:t>
      </w:r>
    </w:p>
    <w:p w14:paraId="52AB88AB">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210" w:hanging="210" w:hangingChars="100"/>
        <w:jc w:val="left"/>
        <w:textAlignment w:val="center"/>
        <w:rPr>
          <w:sz w:val="21"/>
        </w:rPr>
      </w:pPr>
      <w:r>
        <w:rPr>
          <w:sz w:val="21"/>
        </w:rPr>
        <w:t>2．《中国居民膳食指南》提出“减盐、减油、减糖”。控糖：摄入添加糖（加工中加入的单糖、二糖等各种糖类甜味剂，不含天然糖）每日≤50g，最好&lt;25g。下图为咸蛋黄苏打饼干配料及营养成分表。下列叙述正确的是（　　）</w:t>
      </w:r>
    </w:p>
    <w:p w14:paraId="289319F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57905" cy="1247140"/>
            <wp:effectExtent l="0" t="0" r="0" b="0"/>
            <wp:docPr id="100003" name="图片 100003" descr="@@@21dd8702-c3b5-45bc-b3ed-f108b64ad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21dd8702-c3b5-45bc-b3ed-f108b64ade48"/>
                    <pic:cNvPicPr>
                      <a:picLocks noChangeAspect="1"/>
                    </pic:cNvPicPr>
                  </pic:nvPicPr>
                  <pic:blipFill>
                    <a:blip r:embed="rId11"/>
                    <a:srcRect l="2506" t="2904" b="5105"/>
                    <a:stretch>
                      <a:fillRect/>
                    </a:stretch>
                  </pic:blipFill>
                  <pic:spPr>
                    <a:xfrm>
                      <a:off x="0" y="0"/>
                      <a:ext cx="3557905" cy="1247140"/>
                    </a:xfrm>
                    <a:prstGeom prst="rect">
                      <a:avLst/>
                    </a:prstGeom>
                  </pic:spPr>
                </pic:pic>
              </a:graphicData>
            </a:graphic>
          </wp:inline>
        </w:drawing>
      </w:r>
    </w:p>
    <w:p w14:paraId="30B46DFD">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A．每100克该食物中含57克添加糖，不建议大量食用</w:t>
      </w:r>
    </w:p>
    <w:p w14:paraId="5E6CD554">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B．脂肪水解产生的甘油和脂肪酸，是人体细胞合成磷脂的原料</w:t>
      </w:r>
    </w:p>
    <w:p w14:paraId="320892AD">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C．该食物能补充人体所需的21 种必需氨基酸</w:t>
      </w:r>
    </w:p>
    <w:p w14:paraId="0DE51A40">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D．减盐可降低细胞内液Na⁺浓度，从而维持细胞正常的形态与功能</w:t>
      </w:r>
    </w:p>
    <w:p w14:paraId="5EFA2A8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3．某种动物的体细胞增殖过程中不同阶段的示意图如下，其中错误的是（</w:t>
      </w:r>
      <w:r>
        <w:rPr>
          <w:rFonts w:ascii="Times New Roman" w:hAnsi="Times New Roman" w:eastAsia="Times New Roman" w:cs="Times New Roman"/>
          <w:kern w:val="0"/>
          <w:sz w:val="24"/>
          <w:szCs w:val="24"/>
        </w:rPr>
        <w:t>     </w:t>
      </w:r>
      <w:r>
        <w:rPr>
          <w:sz w:val="21"/>
        </w:rPr>
        <w:t>）</w:t>
      </w:r>
    </w:p>
    <w:p w14:paraId="286F4D42">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76" w:lineRule="auto"/>
        <w:ind w:left="300"/>
        <w:jc w:val="left"/>
        <w:textAlignment w:val="center"/>
        <w:rPr>
          <w:rFonts w:ascii="Times New Roman" w:hAnsi="Times New Roman" w:eastAsia="Times New Roman" w:cs="Times New Roman"/>
          <w:strike w:val="0"/>
          <w:kern w:val="0"/>
          <w:sz w:val="24"/>
          <w:szCs w:val="24"/>
          <w:u w:val="none"/>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676275" cy="657225"/>
            <wp:effectExtent l="0" t="0" r="9525" b="9525"/>
            <wp:docPr id="100005" name="图片 100005" descr="@@@d84ef1a1f6c448b28b8bd9510cfbc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84ef1a1f6c448b28b8bd9510cfbc543"/>
                    <pic:cNvPicPr>
                      <a:picLocks noChangeAspect="1"/>
                    </pic:cNvPicPr>
                  </pic:nvPicPr>
                  <pic:blipFill>
                    <a:blip r:embed="rId12"/>
                    <a:stretch>
                      <a:fillRect/>
                    </a:stretch>
                  </pic:blipFill>
                  <pic:spPr>
                    <a:xfrm>
                      <a:off x="0" y="0"/>
                      <a:ext cx="676275" cy="657225"/>
                    </a:xfrm>
                    <a:prstGeom prst="rect">
                      <a:avLst/>
                    </a:prstGeom>
                  </pic:spPr>
                </pic:pic>
              </a:graphicData>
            </a:graphic>
          </wp:inline>
        </w:drawing>
      </w:r>
      <w:r>
        <w:rPr>
          <w:sz w:val="21"/>
        </w:rPr>
        <w:tab/>
      </w:r>
      <w:r>
        <w:rPr>
          <w:sz w:val="21"/>
        </w:rPr>
        <w:t>B．</w:t>
      </w:r>
      <w:r>
        <w:rPr>
          <w:rFonts w:ascii="Times New Roman" w:hAnsi="Times New Roman" w:eastAsia="Times New Roman" w:cs="Times New Roman"/>
          <w:strike w:val="0"/>
          <w:kern w:val="0"/>
          <w:sz w:val="24"/>
          <w:szCs w:val="24"/>
          <w:u w:val="none"/>
        </w:rPr>
        <w:drawing>
          <wp:inline distT="0" distB="0" distL="114300" distR="114300">
            <wp:extent cx="771525" cy="733425"/>
            <wp:effectExtent l="0" t="0" r="9525" b="9525"/>
            <wp:docPr id="100007" name="图片 100007" descr="@@@0ca2be8f21074bed8f7aac54ecc56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0ca2be8f21074bed8f7aac54ecc56eb0"/>
                    <pic:cNvPicPr>
                      <a:picLocks noChangeAspect="1"/>
                    </pic:cNvPicPr>
                  </pic:nvPicPr>
                  <pic:blipFill>
                    <a:blip r:embed="rId13"/>
                    <a:stretch>
                      <a:fillRect/>
                    </a:stretch>
                  </pic:blipFill>
                  <pic:spPr>
                    <a:xfrm>
                      <a:off x="0" y="0"/>
                      <a:ext cx="771525" cy="733425"/>
                    </a:xfrm>
                    <a:prstGeom prst="rect">
                      <a:avLst/>
                    </a:prstGeom>
                  </pic:spPr>
                </pic:pic>
              </a:graphicData>
            </a:graphic>
          </wp:inline>
        </w:drawing>
      </w:r>
      <w:r>
        <w:rPr>
          <w:sz w:val="21"/>
        </w:rPr>
        <w:tab/>
      </w:r>
      <w:r>
        <w:rPr>
          <w:sz w:val="21"/>
        </w:rPr>
        <w:t>C．</w:t>
      </w:r>
      <w:r>
        <w:rPr>
          <w:rFonts w:ascii="Times New Roman" w:hAnsi="Times New Roman" w:eastAsia="Times New Roman" w:cs="Times New Roman"/>
          <w:strike w:val="0"/>
          <w:kern w:val="0"/>
          <w:sz w:val="24"/>
          <w:szCs w:val="24"/>
          <w:u w:val="none"/>
        </w:rPr>
        <w:drawing>
          <wp:inline distT="0" distB="0" distL="114300" distR="114300">
            <wp:extent cx="638175" cy="657225"/>
            <wp:effectExtent l="0" t="0" r="9525" b="9525"/>
            <wp:docPr id="100009" name="图片 100009" descr="@@@b0499a3b348542ca96be6ea1bbe9b3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b0499a3b348542ca96be6ea1bbe9b3ee"/>
                    <pic:cNvPicPr>
                      <a:picLocks noChangeAspect="1"/>
                    </pic:cNvPicPr>
                  </pic:nvPicPr>
                  <pic:blipFill>
                    <a:blip r:embed="rId14"/>
                    <a:stretch>
                      <a:fillRect/>
                    </a:stretch>
                  </pic:blipFill>
                  <pic:spPr>
                    <a:xfrm>
                      <a:off x="0" y="0"/>
                      <a:ext cx="638175" cy="657225"/>
                    </a:xfrm>
                    <a:prstGeom prst="rect">
                      <a:avLst/>
                    </a:prstGeom>
                  </pic:spPr>
                </pic:pic>
              </a:graphicData>
            </a:graphic>
          </wp:inline>
        </w:drawing>
      </w:r>
      <w:r>
        <w:rPr>
          <w:sz w:val="21"/>
        </w:rPr>
        <w:tab/>
      </w:r>
      <w:r>
        <w:rPr>
          <w:sz w:val="21"/>
        </w:rPr>
        <w:t>D．</w:t>
      </w:r>
      <w:r>
        <w:rPr>
          <w:rFonts w:ascii="Times New Roman" w:hAnsi="Times New Roman" w:eastAsia="Times New Roman" w:cs="Times New Roman"/>
          <w:strike w:val="0"/>
          <w:kern w:val="0"/>
          <w:sz w:val="24"/>
          <w:szCs w:val="24"/>
          <w:u w:val="none"/>
        </w:rPr>
        <w:drawing>
          <wp:inline distT="0" distB="0" distL="114300" distR="114300">
            <wp:extent cx="609600" cy="647700"/>
            <wp:effectExtent l="0" t="0" r="0" b="0"/>
            <wp:docPr id="100011" name="图片 100011" descr="@@@f9056b4ba1424bab941cf2f1ed218b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9056b4ba1424bab941cf2f1ed218b29"/>
                    <pic:cNvPicPr>
                      <a:picLocks noChangeAspect="1"/>
                    </pic:cNvPicPr>
                  </pic:nvPicPr>
                  <pic:blipFill>
                    <a:blip r:embed="rId15"/>
                    <a:stretch>
                      <a:fillRect/>
                    </a:stretch>
                  </pic:blipFill>
                  <pic:spPr>
                    <a:xfrm>
                      <a:off x="0" y="0"/>
                      <a:ext cx="609600" cy="647700"/>
                    </a:xfrm>
                    <a:prstGeom prst="rect">
                      <a:avLst/>
                    </a:prstGeom>
                  </pic:spPr>
                </pic:pic>
              </a:graphicData>
            </a:graphic>
          </wp:inline>
        </w:drawing>
      </w:r>
    </w:p>
    <w:p w14:paraId="51910E5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4．如图为某兴趣小组进行渗透作用实验的装置，所用的生物膜允许水分子通过，但蔗糖不能通过。实验开始时，甲、乙漏斗内液面持平且均高于漏斗外侧。下列说法错误的是（</w:t>
      </w:r>
      <w:r>
        <w:rPr>
          <w:rFonts w:ascii="Times New Roman" w:hAnsi="Times New Roman" w:eastAsia="Times New Roman" w:cs="Times New Roman"/>
          <w:kern w:val="0"/>
          <w:sz w:val="24"/>
          <w:szCs w:val="24"/>
        </w:rPr>
        <w:t>    </w:t>
      </w:r>
      <w:r>
        <w:rPr>
          <w:sz w:val="21"/>
        </w:rPr>
        <w:t>）</w:t>
      </w:r>
    </w:p>
    <w:p w14:paraId="1EABF5F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59264" behindDoc="1" locked="0" layoutInCell="1" allowOverlap="1">
            <wp:simplePos x="0" y="0"/>
            <wp:positionH relativeFrom="column">
              <wp:posOffset>-28575</wp:posOffset>
            </wp:positionH>
            <wp:positionV relativeFrom="paragraph">
              <wp:posOffset>116840</wp:posOffset>
            </wp:positionV>
            <wp:extent cx="1704340" cy="1449070"/>
            <wp:effectExtent l="0" t="0" r="48260" b="55880"/>
            <wp:wrapTight wrapText="bothSides">
              <wp:wrapPolygon>
                <wp:start x="0" y="0"/>
                <wp:lineTo x="0" y="21297"/>
                <wp:lineTo x="21246" y="21297"/>
                <wp:lineTo x="21246" y="0"/>
                <wp:lineTo x="0" y="0"/>
              </wp:wrapPolygon>
            </wp:wrapTight>
            <wp:docPr id="100013" name="图片 100013" descr="@@@19e18b09-3aa5-4fcd-800e-f3270527f5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9e18b09-3aa5-4fcd-800e-f3270527f50b"/>
                    <pic:cNvPicPr>
                      <a:picLocks noChangeAspect="1"/>
                    </pic:cNvPicPr>
                  </pic:nvPicPr>
                  <pic:blipFill>
                    <a:blip r:embed="rId16"/>
                    <a:stretch>
                      <a:fillRect/>
                    </a:stretch>
                  </pic:blipFill>
                  <pic:spPr>
                    <a:xfrm>
                      <a:off x="0" y="0"/>
                      <a:ext cx="1704340" cy="1449070"/>
                    </a:xfrm>
                    <a:prstGeom prst="rect">
                      <a:avLst/>
                    </a:prstGeom>
                  </pic:spPr>
                </pic:pic>
              </a:graphicData>
            </a:graphic>
          </wp:anchor>
        </w:drawing>
      </w:r>
    </w:p>
    <w:p w14:paraId="0047EA2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A．甲所在一侧装置为实验组，另一侧为对照组</w:t>
      </w:r>
    </w:p>
    <w:p w14:paraId="556FDB42">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B．甲漏斗液面将会上升，乙漏斗液面将会下降</w:t>
      </w:r>
    </w:p>
    <w:p w14:paraId="1C1D44FB">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C．当漏斗内液面高度稳定时，仍有水分子通过生物膜</w:t>
      </w:r>
    </w:p>
    <w:p w14:paraId="7F38C2AE">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D．当渗透平衡时，甲、乙漏斗内外两侧溶液浓度相同</w:t>
      </w:r>
    </w:p>
    <w:p w14:paraId="127106F9">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p>
    <w:p w14:paraId="15F682CB">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p>
    <w:p w14:paraId="57CFA27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p>
    <w:p w14:paraId="3180200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5．以下关于真核细胞和原核细胞的说法中，正确的是（</w:t>
      </w:r>
      <w:r>
        <w:rPr>
          <w:rFonts w:ascii="Times New Roman" w:hAnsi="Times New Roman" w:eastAsia="Times New Roman" w:cs="Times New Roman"/>
          <w:kern w:val="0"/>
          <w:sz w:val="24"/>
          <w:szCs w:val="24"/>
        </w:rPr>
        <w:t>    </w:t>
      </w:r>
      <w:r>
        <w:rPr>
          <w:sz w:val="21"/>
        </w:rPr>
        <w:t>）</w:t>
      </w:r>
    </w:p>
    <w:p w14:paraId="699DC91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A．发菜细胞群体呈黑蓝色，无叶绿素，不能进行光合作用</w:t>
      </w:r>
    </w:p>
    <w:p w14:paraId="6B821048">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B．真核生物的遗传物质是DNA，原核生物的遗传物质是RNA</w:t>
      </w:r>
    </w:p>
    <w:p w14:paraId="2589C332">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C．念珠蓝细菌是由许多细胞构成的真核生物</w:t>
      </w:r>
    </w:p>
    <w:p w14:paraId="786F1F3B">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D．大肠杆菌和酵母菌在结构上都有细胞壁</w:t>
      </w:r>
    </w:p>
    <w:p w14:paraId="73F4423C">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210" w:hanging="210" w:hangingChars="100"/>
        <w:jc w:val="left"/>
        <w:textAlignment w:val="center"/>
        <w:rPr>
          <w:sz w:val="21"/>
        </w:rPr>
      </w:pPr>
      <w:r>
        <w:rPr>
          <w:sz w:val="21"/>
        </w:rPr>
        <w:t>6．塑料包装中的双酚A是一种常见的添加剂，进入机体后能模拟雌激素结合雌激素受体，干扰内分泌系统的正常功能。下列相关叙述不正确的是（　　）</w:t>
      </w:r>
    </w:p>
    <w:p w14:paraId="423AF3D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A．雌激素需要通过体液进行运输</w:t>
      </w:r>
    </w:p>
    <w:p w14:paraId="548C8553">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B．雌激素与受体的结合具有特异性</w:t>
      </w:r>
    </w:p>
    <w:p w14:paraId="3194DE9F">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C．双酚A进入机体后通过负反馈调节抑制雌激素的分泌</w:t>
      </w:r>
    </w:p>
    <w:p w14:paraId="16D52256">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D．双酚A只有在体内达到很高浓度才能产生效应</w:t>
      </w:r>
    </w:p>
    <w:p w14:paraId="0692A551">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7．下列实验设计中未运用“减法原理”的是（</w:t>
      </w:r>
      <w:r>
        <w:rPr>
          <w:rFonts w:ascii="Times New Roman" w:hAnsi="Times New Roman" w:eastAsia="Times New Roman" w:cs="Times New Roman"/>
          <w:kern w:val="0"/>
          <w:sz w:val="24"/>
          <w:szCs w:val="24"/>
        </w:rPr>
        <w:t>    </w:t>
      </w:r>
      <w:r>
        <w:rPr>
          <w:sz w:val="21"/>
        </w:rPr>
        <w:t>）</w:t>
      </w:r>
    </w:p>
    <w:p w14:paraId="0CC5B575">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76" w:lineRule="auto"/>
        <w:ind w:left="300"/>
        <w:jc w:val="left"/>
        <w:textAlignment w:val="center"/>
        <w:rPr>
          <w:sz w:val="21"/>
        </w:rPr>
      </w:pPr>
      <w:r>
        <w:rPr>
          <w:sz w:val="21"/>
        </w:rPr>
        <w:t>A．肺炎链球菌的体外转化实验</w:t>
      </w:r>
      <w:r>
        <w:rPr>
          <w:sz w:val="21"/>
        </w:rPr>
        <w:tab/>
      </w:r>
      <w:r>
        <w:rPr>
          <w:sz w:val="21"/>
        </w:rPr>
        <w:t>B．达尔文探究植物的向光性实验</w:t>
      </w:r>
    </w:p>
    <w:p w14:paraId="7BD7AAD1">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76" w:lineRule="auto"/>
        <w:ind w:left="300"/>
        <w:jc w:val="left"/>
        <w:textAlignment w:val="center"/>
        <w:rPr>
          <w:sz w:val="21"/>
        </w:rPr>
      </w:pPr>
      <w:r>
        <w:rPr>
          <w:sz w:val="21"/>
        </w:rPr>
        <w:t>C．研究分泌蛋白的合成和分泌过程</w:t>
      </w:r>
      <w:r>
        <w:rPr>
          <w:sz w:val="21"/>
        </w:rPr>
        <w:tab/>
      </w:r>
      <w:r>
        <w:rPr>
          <w:sz w:val="21"/>
        </w:rPr>
        <w:t>D．探究睾丸分泌雄激素的研究</w:t>
      </w:r>
    </w:p>
    <w:p w14:paraId="055593FB">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210" w:hanging="210" w:hangingChars="100"/>
        <w:jc w:val="left"/>
        <w:textAlignment w:val="center"/>
        <w:rPr>
          <w:sz w:val="21"/>
        </w:rPr>
      </w:pPr>
      <w:r>
        <w:rPr>
          <w:sz w:val="21"/>
        </w:rPr>
        <w:t>8．NAD+/NADH平衡有利于维持细胞代谢的相对稳定，若肿瘤细胞中的NAD+/NADH的值增大，则该肿瘤细胞可能正在发生的生理过程是（</w:t>
      </w:r>
      <w:r>
        <w:rPr>
          <w:rFonts w:ascii="Times New Roman" w:hAnsi="Times New Roman" w:eastAsia="Times New Roman" w:cs="Times New Roman"/>
          <w:kern w:val="0"/>
          <w:sz w:val="24"/>
          <w:szCs w:val="24"/>
        </w:rPr>
        <w:t>    </w:t>
      </w:r>
      <w:r>
        <w:rPr>
          <w:sz w:val="21"/>
        </w:rPr>
        <w:t>）</w:t>
      </w:r>
    </w:p>
    <w:p w14:paraId="67ACBC7C">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A．葡萄糖初步分解产生丙酮酸</w:t>
      </w:r>
      <w:r>
        <w:rPr>
          <w:rFonts w:hint="eastAsia"/>
          <w:sz w:val="21"/>
          <w:lang w:val="en-US" w:eastAsia="zh-CN"/>
        </w:rPr>
        <w:t xml:space="preserve">             </w:t>
      </w:r>
      <w:r>
        <w:rPr>
          <w:sz w:val="21"/>
        </w:rPr>
        <w:t>B．丙酮酸分解为CO</w:t>
      </w:r>
      <w:r>
        <w:rPr>
          <w:sz w:val="21"/>
          <w:vertAlign w:val="subscript"/>
        </w:rPr>
        <w:t>2</w:t>
      </w:r>
      <w:r>
        <w:rPr>
          <w:sz w:val="21"/>
        </w:rPr>
        <w:t>并产生酒精</w:t>
      </w:r>
    </w:p>
    <w:p w14:paraId="56D5B933">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C．丙酮酸彻底氧化分解为CO</w:t>
      </w:r>
      <w:r>
        <w:rPr>
          <w:sz w:val="21"/>
          <w:vertAlign w:val="subscript"/>
        </w:rPr>
        <w:t>2</w:t>
      </w:r>
      <w:r>
        <w:rPr>
          <w:rFonts w:hint="eastAsia"/>
          <w:sz w:val="21"/>
          <w:vertAlign w:val="subscript"/>
          <w:lang w:val="en-US" w:eastAsia="zh-CN"/>
        </w:rPr>
        <w:t xml:space="preserve">                     </w:t>
      </w:r>
      <w:r>
        <w:rPr>
          <w:sz w:val="21"/>
        </w:rPr>
        <w:t>D．氧气被还原产生水</w:t>
      </w:r>
    </w:p>
    <w:p w14:paraId="1C0DE02D">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210" w:hanging="210" w:hangingChars="100"/>
        <w:jc w:val="left"/>
        <w:textAlignment w:val="center"/>
        <w:rPr>
          <w:sz w:val="21"/>
        </w:rPr>
      </w:pPr>
      <w:r>
        <w:rPr>
          <w:sz w:val="21"/>
        </w:rPr>
        <w:t>9．火山爆发后形成的熔岩区经过一段时间后，周边生态系统中有种间竞争关系的物种会随机侵入并占据这片区域，最终会有一个物种发展为优势种，称为爆发式抢占。下列说法正确的是（　　）</w:t>
      </w:r>
    </w:p>
    <w:p w14:paraId="1D6D2613">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A．熔岩区进行的演替与火灾过后的草原演替类型相同</w:t>
      </w:r>
    </w:p>
    <w:p w14:paraId="3D1E00FA">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B．熔岩区的演替经历阶段相对较多，趋向于恢复原来的群落</w:t>
      </w:r>
    </w:p>
    <w:p w14:paraId="21314369">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C．熔岩区的演替过程中，该区域的恢复力稳定性越来越高</w:t>
      </w:r>
    </w:p>
    <w:p w14:paraId="76B0ADD1">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00"/>
        <w:jc w:val="left"/>
        <w:textAlignment w:val="center"/>
        <w:rPr>
          <w:sz w:val="21"/>
        </w:rPr>
      </w:pPr>
      <w:r>
        <w:rPr>
          <w:sz w:val="21"/>
        </w:rPr>
        <w:t>D．负反馈调节在熔岩区群落的演替过程中普遍存在</w:t>
      </w:r>
    </w:p>
    <w:p w14:paraId="3FAABD4A">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420" w:hanging="420" w:hangingChars="200"/>
        <w:jc w:val="left"/>
        <w:textAlignment w:val="center"/>
        <w:rPr>
          <w:sz w:val="21"/>
        </w:rPr>
      </w:pPr>
      <w:r>
        <w:rPr>
          <w:sz w:val="21"/>
        </w:rPr>
        <w:t>10．起源于南美洲的辣椒是茄科辣椒属的一年生或有限多年生植物，有许多辣度（来自于辣椒素）不同的品种。研究人员通过分析相关植物的基因组发现，辣椒属与酸浆属的亲缘关系比与茄属的更近，辣椒素合成途径可能是在约500万～1340万年前起源的。下列叙述错误的是（</w:t>
      </w:r>
      <w:r>
        <w:rPr>
          <w:rFonts w:ascii="Times New Roman" w:hAnsi="Times New Roman" w:eastAsia="Times New Roman" w:cs="Times New Roman"/>
          <w:kern w:val="0"/>
          <w:sz w:val="24"/>
          <w:szCs w:val="24"/>
        </w:rPr>
        <w:t>    </w:t>
      </w:r>
      <w:r>
        <w:rPr>
          <w:sz w:val="21"/>
        </w:rPr>
        <w:t>）</w:t>
      </w:r>
    </w:p>
    <w:p w14:paraId="54AD2BE6">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A．辣椒素合成关键酶基因的出现不是自然选择的结果</w:t>
      </w:r>
    </w:p>
    <w:p w14:paraId="627B75EF">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B．研究人员在分子水平上揭示了辣椒属与其他物种的亲缘关系</w:t>
      </w:r>
    </w:p>
    <w:p w14:paraId="05745E54">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C．辣椒进化过程中辣椒素合成关键酶基因的基因频率一直在上升</w:t>
      </w:r>
    </w:p>
    <w:p w14:paraId="4C5E932A">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D．生殖隔离在茄科植物的进化过程中起了重要作用</w:t>
      </w:r>
    </w:p>
    <w:p w14:paraId="1645CAE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11．窖泥中的微生物是影响白酒风味的因素之一。现从某酒厂窖泥中分离筛选与白酒风味物质形成相关的己酸菌，下列分析错误的是（</w:t>
      </w:r>
      <w:r>
        <w:rPr>
          <w:rFonts w:ascii="Times New Roman" w:hAnsi="Times New Roman" w:eastAsia="Times New Roman" w:cs="Times New Roman"/>
          <w:kern w:val="0"/>
          <w:sz w:val="24"/>
          <w:szCs w:val="24"/>
        </w:rPr>
        <w:t>     </w:t>
      </w:r>
      <w:r>
        <w:rPr>
          <w:sz w:val="21"/>
        </w:rPr>
        <w:t>）</w:t>
      </w:r>
    </w:p>
    <w:p w14:paraId="0B08B566">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A．分离培养己酸菌时，需对培养基、培养皿进行灭菌</w:t>
      </w:r>
    </w:p>
    <w:p w14:paraId="3580F270">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B．通过稀释涂布平板法统计的菌落数一般比活菌的实际数偏多</w:t>
      </w:r>
    </w:p>
    <w:p w14:paraId="7655FFE3">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C．依据己酸菌的特异基因序列设计引物，可通过PCR对目的菌株进行鉴定</w:t>
      </w:r>
    </w:p>
    <w:p w14:paraId="22811020">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D．获得的己酸菌优良菌种需扩大培养后再用于白酒的规模化生产</w:t>
      </w:r>
    </w:p>
    <w:p w14:paraId="5659A39C">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6D2377AD">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71AC018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12．科研人员为了寻找控制三裂叶豚草（一种外来物种）疯长的有效方法，进行了相关实验，连续三年测得三裂叶豚草的生物量，结果如图所示。下列相关叙述错误的是（</w:t>
      </w:r>
      <w:r>
        <w:rPr>
          <w:rFonts w:ascii="Times New Roman" w:hAnsi="Times New Roman" w:eastAsia="Times New Roman" w:cs="Times New Roman"/>
          <w:kern w:val="0"/>
          <w:sz w:val="24"/>
          <w:szCs w:val="24"/>
        </w:rPr>
        <w:t>    </w:t>
      </w:r>
      <w:r>
        <w:rPr>
          <w:sz w:val="21"/>
        </w:rPr>
        <w:t>）</w:t>
      </w:r>
    </w:p>
    <w:p w14:paraId="6264FC9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88205" cy="1151890"/>
            <wp:effectExtent l="0" t="0" r="17145" b="10160"/>
            <wp:docPr id="100017" name="图片 100017" descr="@@@c2a18707-3801-4eed-a39a-480b9f319a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c2a18707-3801-4eed-a39a-480b9f319a6f"/>
                    <pic:cNvPicPr>
                      <a:picLocks noChangeAspect="1"/>
                    </pic:cNvPicPr>
                  </pic:nvPicPr>
                  <pic:blipFill>
                    <a:blip r:embed="rId17"/>
                    <a:stretch>
                      <a:fillRect/>
                    </a:stretch>
                  </pic:blipFill>
                  <pic:spPr>
                    <a:xfrm>
                      <a:off x="0" y="0"/>
                      <a:ext cx="4688205" cy="1151890"/>
                    </a:xfrm>
                    <a:prstGeom prst="rect">
                      <a:avLst/>
                    </a:prstGeom>
                  </pic:spPr>
                </pic:pic>
              </a:graphicData>
            </a:graphic>
          </wp:inline>
        </w:drawing>
      </w:r>
      <w:r>
        <w:rPr>
          <w:rFonts w:ascii="Times New Roman" w:hAnsi="Times New Roman" w:eastAsia="Times New Roman" w:cs="Times New Roman"/>
          <w:kern w:val="0"/>
          <w:sz w:val="24"/>
          <w:szCs w:val="24"/>
        </w:rPr>
        <w:t>  </w:t>
      </w:r>
    </w:p>
    <w:p w14:paraId="24D56EA6">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A．该科研人员是从生物防治角度，寻找防治三裂叶豚草的有效方法</w:t>
      </w:r>
    </w:p>
    <w:p w14:paraId="4ADE15F3">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B．三裂叶豚草与野艾蒿存在种间竞争关系，后者对前者有抑制作用</w:t>
      </w:r>
    </w:p>
    <w:p w14:paraId="5FDFBC9B">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C．大量引入广聚萤叶甲可对三裂叶豚草的疯长起到立竿见影的效果</w:t>
      </w:r>
    </w:p>
    <w:p w14:paraId="271B5073">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D．三裂叶豚草疯长使入侵地的生物多样性锐减，群落发生次生演替</w:t>
      </w:r>
    </w:p>
    <w:p w14:paraId="0BDE15AA">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13．拟南芥种子萌发时会形成顶端弯钩，其形成机制是种子出土前胚轴的A侧生长素浓度明显高于B侧，细胞中的DAR1催化TMK1c的形成，A侧的TMK1c入核后将IAA32/34磷酸化而使IAA32/34不易降解，进而抑制了ARFs基因表达，抑制细胞伸长；B侧细胞的TMK1c则被降解。下列说法正确的是（</w:t>
      </w:r>
      <w:r>
        <w:rPr>
          <w:rFonts w:ascii="Times New Roman" w:hAnsi="Times New Roman" w:eastAsia="Times New Roman" w:cs="Times New Roman"/>
          <w:kern w:val="0"/>
          <w:sz w:val="24"/>
          <w:szCs w:val="24"/>
        </w:rPr>
        <w:t>    </w:t>
      </w:r>
      <w:r>
        <w:rPr>
          <w:sz w:val="21"/>
        </w:rPr>
        <w:t>）</w:t>
      </w:r>
    </w:p>
    <w:p w14:paraId="7A388BFB">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60288" behindDoc="1" locked="0" layoutInCell="1" allowOverlap="1">
            <wp:simplePos x="0" y="0"/>
            <wp:positionH relativeFrom="column">
              <wp:posOffset>-144780</wp:posOffset>
            </wp:positionH>
            <wp:positionV relativeFrom="paragraph">
              <wp:posOffset>43815</wp:posOffset>
            </wp:positionV>
            <wp:extent cx="488950" cy="1074420"/>
            <wp:effectExtent l="0" t="0" r="44450" b="30480"/>
            <wp:wrapThrough wrapText="bothSides">
              <wp:wrapPolygon>
                <wp:start x="0" y="0"/>
                <wp:lineTo x="0" y="21064"/>
                <wp:lineTo x="21039" y="21064"/>
                <wp:lineTo x="21039" y="0"/>
                <wp:lineTo x="0" y="0"/>
              </wp:wrapPolygon>
            </wp:wrapThrough>
            <wp:docPr id="100019" name="图片 100019" descr="@@@92b32f86-e1d1-4e53-ac70-ba2143a15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92b32f86-e1d1-4e53-ac70-ba2143a15642"/>
                    <pic:cNvPicPr>
                      <a:picLocks noChangeAspect="1"/>
                    </pic:cNvPicPr>
                  </pic:nvPicPr>
                  <pic:blipFill>
                    <a:blip r:embed="rId18"/>
                    <a:stretch>
                      <a:fillRect/>
                    </a:stretch>
                  </pic:blipFill>
                  <pic:spPr>
                    <a:xfrm>
                      <a:off x="0" y="0"/>
                      <a:ext cx="488950" cy="1074420"/>
                    </a:xfrm>
                    <a:prstGeom prst="rect">
                      <a:avLst/>
                    </a:prstGeom>
                  </pic:spPr>
                </pic:pic>
              </a:graphicData>
            </a:graphic>
          </wp:anchor>
        </w:drawing>
      </w:r>
    </w:p>
    <w:p w14:paraId="3F5626A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A．生长素的合成原料是各种氨基酸</w:t>
      </w:r>
    </w:p>
    <w:p w14:paraId="6F8BD4D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B．TMK1c在生长素浓度高时含量高</w:t>
      </w:r>
    </w:p>
    <w:p w14:paraId="20607FAD">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C．B侧细胞中的IAA32/34发生磷酸化而更加稳定</w:t>
      </w:r>
    </w:p>
    <w:p w14:paraId="0859981A">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D．顶端优势发生时，侧芽细胞的ARFs基因表达水平高于顶芽</w:t>
      </w:r>
    </w:p>
    <w:p w14:paraId="3BA0E094">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61FE5D9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科学家将健康者与IPEX综合征（一种自身免疫病）患者的基因进行对比，发现IPEX患者Foxp3基因存在2对碱基缺失，导致Foxp3基因合成的蛋白失效。为探究调节性T细胞（Treg）的形成和功能与Foxp3基因的关系，进行了以下实验。下列分析错误的是（　　）</w:t>
      </w:r>
    </w:p>
    <w:p w14:paraId="561FEB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76" w:lineRule="auto"/>
        <w:jc w:val="left"/>
        <w:textAlignment w:val="center"/>
        <w:rPr>
          <w:sz w:val="21"/>
        </w:rPr>
      </w:pPr>
      <w:r>
        <w:drawing>
          <wp:anchor distT="0" distB="0" distL="114300" distR="114300" simplePos="0" relativeHeight="251661312" behindDoc="1" locked="0" layoutInCell="1" allowOverlap="1">
            <wp:simplePos x="0" y="0"/>
            <wp:positionH relativeFrom="column">
              <wp:posOffset>-67310</wp:posOffset>
            </wp:positionH>
            <wp:positionV relativeFrom="paragraph">
              <wp:posOffset>110490</wp:posOffset>
            </wp:positionV>
            <wp:extent cx="4087495" cy="3368040"/>
            <wp:effectExtent l="0" t="0" r="0" b="0"/>
            <wp:wrapThrough wrapText="bothSides">
              <wp:wrapPolygon>
                <wp:start x="0" y="0"/>
                <wp:lineTo x="0" y="21502"/>
                <wp:lineTo x="21543" y="21502"/>
                <wp:lineTo x="21543" y="0"/>
                <wp:lineTo x="0" y="0"/>
              </wp:wrapPolygon>
            </wp:wrapThrough>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9"/>
                    <a:stretch>
                      <a:fillRect/>
                    </a:stretch>
                  </pic:blipFill>
                  <pic:spPr>
                    <a:xfrm>
                      <a:off x="0" y="0"/>
                      <a:ext cx="4087495" cy="3368040"/>
                    </a:xfrm>
                    <a:prstGeom prst="rect">
                      <a:avLst/>
                    </a:prstGeom>
                    <a:noFill/>
                    <a:ln>
                      <a:noFill/>
                    </a:ln>
                  </pic:spPr>
                </pic:pic>
              </a:graphicData>
            </a:graphic>
          </wp:anchor>
        </w:drawing>
      </w:r>
    </w:p>
    <w:p w14:paraId="22CCA7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76" w:lineRule="auto"/>
        <w:jc w:val="left"/>
        <w:textAlignment w:val="center"/>
        <w:rPr>
          <w:sz w:val="21"/>
        </w:rPr>
      </w:pPr>
    </w:p>
    <w:p w14:paraId="12D854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76" w:lineRule="auto"/>
        <w:jc w:val="left"/>
        <w:textAlignment w:val="center"/>
        <w:rPr>
          <w:sz w:val="21"/>
        </w:rPr>
      </w:pPr>
    </w:p>
    <w:p w14:paraId="78AFB1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76" w:lineRule="auto"/>
        <w:jc w:val="left"/>
        <w:textAlignment w:val="center"/>
        <w:rPr>
          <w:sz w:val="21"/>
        </w:rPr>
      </w:pPr>
    </w:p>
    <w:p w14:paraId="32C570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76" w:lineRule="auto"/>
        <w:jc w:val="left"/>
        <w:textAlignment w:val="center"/>
        <w:rPr>
          <w:sz w:val="21"/>
        </w:rPr>
      </w:pPr>
    </w:p>
    <w:p w14:paraId="34744B8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A．从控制自变量的角度分析，该实验用</w:t>
      </w:r>
      <w:r>
        <w:rPr>
          <w:rFonts w:hint="eastAsia"/>
          <w:sz w:val="21"/>
          <w:lang w:val="en-US" w:eastAsia="zh-CN"/>
        </w:rPr>
        <w:t xml:space="preserve"> </w:t>
      </w:r>
      <w:r>
        <w:rPr>
          <w:sz w:val="21"/>
        </w:rPr>
        <w:t>到了减法原理和加法原理</w:t>
      </w:r>
    </w:p>
    <w:p w14:paraId="3EB10404">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B．实验结果可描述为随Treg浓度增加，小鼠体内Foxp3浓度升高</w:t>
      </w:r>
    </w:p>
    <w:p w14:paraId="4F3AE61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C．Foxp3基因在Treg中持续表达，有利于维持Treg的免疫促进功能</w:t>
      </w:r>
    </w:p>
    <w:p w14:paraId="293E3E03">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D．为增强说服力，需增加“正常鼠注射等量生理盐水”的处理组</w:t>
      </w:r>
    </w:p>
    <w:p w14:paraId="4341107A">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63D2E742">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314631F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15．湿疹血小板减少伴免疫缺陷综合征（WAS）是一种罕见的遗传性免疫缺陷综合征，下图为某家庭该病的遗传系谱图，已知该家族所有正常男性个体都不携带该病致病基因，但患儿舅舅的女儿为Turner综合征（染色体组成为45，XO）。下列叙述正确的是（</w:t>
      </w:r>
      <w:r>
        <w:rPr>
          <w:rFonts w:ascii="Times New Roman" w:hAnsi="Times New Roman" w:eastAsia="Times New Roman" w:cs="Times New Roman"/>
          <w:kern w:val="0"/>
          <w:sz w:val="24"/>
          <w:szCs w:val="24"/>
        </w:rPr>
        <w:t>    </w:t>
      </w:r>
      <w:r>
        <w:rPr>
          <w:sz w:val="21"/>
        </w:rPr>
        <w:t>）</w:t>
      </w:r>
    </w:p>
    <w:p w14:paraId="1B542FD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110480" cy="1391920"/>
            <wp:effectExtent l="0" t="0" r="13970" b="17780"/>
            <wp:docPr id="100023" name="图片 100023" descr="@@@01bdb6dc51114aca84a58b23f200bd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01bdb6dc51114aca84a58b23f200bdf8"/>
                    <pic:cNvPicPr>
                      <a:picLocks noChangeAspect="1"/>
                    </pic:cNvPicPr>
                  </pic:nvPicPr>
                  <pic:blipFill>
                    <a:blip r:embed="rId20">
                      <a:lum bright="-48000" contrast="78000"/>
                    </a:blip>
                    <a:stretch>
                      <a:fillRect/>
                    </a:stretch>
                  </pic:blipFill>
                  <pic:spPr>
                    <a:xfrm>
                      <a:off x="0" y="0"/>
                      <a:ext cx="5110480" cy="1391920"/>
                    </a:xfrm>
                    <a:prstGeom prst="rect">
                      <a:avLst/>
                    </a:prstGeom>
                  </pic:spPr>
                </pic:pic>
              </a:graphicData>
            </a:graphic>
          </wp:inline>
        </w:drawing>
      </w:r>
    </w:p>
    <w:p w14:paraId="73D3ABA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A．WAS的致病基因与红绿色盲致病基因位于相同染色体上</w:t>
      </w:r>
    </w:p>
    <w:p w14:paraId="278510EB">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B．可以通过基因检测对以上两种病进行确诊</w:t>
      </w:r>
    </w:p>
    <w:p w14:paraId="7E5403F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C．Ⅲ-2患Turner综合征的原因是Ⅱ-4或Ⅱ-5减数分裂I异常所致</w:t>
      </w:r>
    </w:p>
    <w:p w14:paraId="45B33344">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rFonts w:ascii="宋体" w:hAnsi="宋体" w:eastAsia="宋体" w:cs="宋体"/>
          <w:b/>
          <w:i w:val="0"/>
          <w:color w:val="000000"/>
          <w:sz w:val="21"/>
        </w:rPr>
      </w:pPr>
      <w:r>
        <w:rPr>
          <w:sz w:val="21"/>
        </w:rPr>
        <w:t>D．若Ⅱ-5是WAS的携带者，再生一个男孩与Ⅲ-1基因型相同的概率1/4</w:t>
      </w:r>
    </w:p>
    <w:p w14:paraId="0E3C31EC">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420" w:hanging="420" w:hangingChars="200"/>
        <w:jc w:val="left"/>
        <w:textAlignment w:val="center"/>
        <w:rPr>
          <w:sz w:val="21"/>
        </w:rPr>
      </w:pPr>
      <w:r>
        <w:rPr>
          <w:sz w:val="21"/>
        </w:rPr>
        <w:t>16．6-磷酸葡萄糖脱氢酶（G-6PD）有F和S两种类型，分别由X染色体上的一对等位基因F和S编码。将基因型为</w:t>
      </w:r>
      <w:r>
        <w:object>
          <v:shape id="_x0000_i1025" o:spt="75" alt="eqIdd0b0e9e0fe3fe8b61cded65e8617e65c" type="#_x0000_t75" style="height:13.15pt;width:26.35pt;" o:ole="t" filled="f" o:preferrelative="t" stroked="f" coordsize="21600,21600">
            <v:path/>
            <v:fill on="f" focussize="0,0"/>
            <v:stroke on="f" joinstyle="miter"/>
            <v:imagedata r:id="rId22" o:title="eqIdd0b0e9e0fe3fe8b61cded65e8617e65c"/>
            <o:lock v:ext="edit" aspectratio="t"/>
            <w10:wrap type="none"/>
            <w10:anchorlock/>
          </v:shape>
          <o:OLEObject Type="Embed" ProgID="Equation.DSMT4" ShapeID="_x0000_i1025" DrawAspect="Content" ObjectID="_1468075725" r:id="rId21">
            <o:LockedField>false</o:LockedField>
          </o:OLEObject>
        </w:object>
      </w:r>
      <w:r>
        <w:rPr>
          <w:sz w:val="21"/>
        </w:rPr>
        <w:t>的女性皮肤组织用胰蛋白酶处理，利用含血清的培养液进行原代培养，然后制成细胞悬液，转入无血清培养液对不同的单个细胞分别进行单克隆培养，克隆形成率与接种细胞密度的关系如下表。分别从原代培养和各单克隆培养中取样，对提取到的G-6PD蛋白进行电泳检测，结果如图所示。下列叙述错误的是（　　）</w:t>
      </w:r>
    </w:p>
    <w:p w14:paraId="1073357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drawing>
          <wp:inline distT="0" distB="0" distL="114300" distR="114300">
            <wp:extent cx="3039745" cy="1917700"/>
            <wp:effectExtent l="0" t="0" r="8255" b="635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3">
                      <a:lum bright="-30000" contrast="48000"/>
                    </a:blip>
                    <a:stretch>
                      <a:fillRect/>
                    </a:stretch>
                  </pic:blipFill>
                  <pic:spPr>
                    <a:xfrm>
                      <a:off x="0" y="0"/>
                      <a:ext cx="3039745" cy="1917700"/>
                    </a:xfrm>
                    <a:prstGeom prst="rect">
                      <a:avLst/>
                    </a:prstGeom>
                    <a:noFill/>
                    <a:ln>
                      <a:noFill/>
                    </a:ln>
                  </pic:spPr>
                </pic:pic>
              </a:graphicData>
            </a:graphic>
          </wp:inline>
        </w:drawing>
      </w:r>
      <w:r>
        <w:rPr>
          <w:rFonts w:hint="eastAsia"/>
          <w:lang w:val="en-US" w:eastAsia="zh-CN"/>
        </w:rPr>
        <w:t xml:space="preserve"> </w:t>
      </w:r>
      <w:r>
        <w:rPr>
          <w:rFonts w:ascii="Times New Roman" w:hAnsi="Times New Roman" w:eastAsia="Times New Roman" w:cs="Times New Roman"/>
          <w:strike w:val="0"/>
          <w:kern w:val="0"/>
          <w:sz w:val="24"/>
          <w:szCs w:val="24"/>
          <w:u w:val="none"/>
        </w:rPr>
        <w:drawing>
          <wp:inline distT="0" distB="0" distL="114300" distR="114300">
            <wp:extent cx="2580640" cy="1310640"/>
            <wp:effectExtent l="0" t="0" r="10160" b="3810"/>
            <wp:docPr id="100015" name="图片 100015" descr="@@@0a9241a1-bf61-4eba-91c9-a8939371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0a9241a1-bf61-4eba-91c9-a89393713878"/>
                    <pic:cNvPicPr>
                      <a:picLocks noChangeAspect="1"/>
                    </pic:cNvPicPr>
                  </pic:nvPicPr>
                  <pic:blipFill>
                    <a:blip r:embed="rId24"/>
                    <a:stretch>
                      <a:fillRect/>
                    </a:stretch>
                  </pic:blipFill>
                  <pic:spPr>
                    <a:xfrm>
                      <a:off x="0" y="0"/>
                      <a:ext cx="2580640" cy="1310640"/>
                    </a:xfrm>
                    <a:prstGeom prst="rect">
                      <a:avLst/>
                    </a:prstGeom>
                  </pic:spPr>
                </pic:pic>
              </a:graphicData>
            </a:graphic>
          </wp:inline>
        </w:drawing>
      </w:r>
    </w:p>
    <w:p w14:paraId="2485D97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A．无血清培养液可能含有酶抑制剂，以保护细胞免受残留的消化酶过度消化而损伤</w:t>
      </w:r>
    </w:p>
    <w:p w14:paraId="759E8220">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B．为获得较高克隆形成率，接种时宜将细胞悬液稀释为10个细胞/mL或更低密度</w:t>
      </w:r>
    </w:p>
    <w:p w14:paraId="4CA483B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C．原代培养的细胞电泳图中出现2种不同条带是等位基因F和S同时表达的产物</w:t>
      </w:r>
    </w:p>
    <w:p w14:paraId="0FE4DF09">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r>
        <w:rPr>
          <w:sz w:val="21"/>
        </w:rPr>
        <w:t>D．出现图示实验结果的原因可能是女性细胞中的一条X染色体随机失活而导致的</w:t>
      </w:r>
    </w:p>
    <w:p w14:paraId="6557AEB9">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16E90B95">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46437462">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2A782CDD">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02CA0A3A">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64982F73">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3787104C">
      <w:pPr>
        <w:keepNext w:val="0"/>
        <w:keepLines w:val="0"/>
        <w:pageBreakBefore w:val="0"/>
        <w:widowControl w:val="0"/>
        <w:shd w:val="clear" w:color="auto" w:fill="auto"/>
        <w:kinsoku/>
        <w:wordWrap/>
        <w:overflowPunct/>
        <w:topLinePunct w:val="0"/>
        <w:autoSpaceDE/>
        <w:autoSpaceDN/>
        <w:bidi w:val="0"/>
        <w:adjustRightInd/>
        <w:snapToGrid/>
        <w:spacing w:line="276" w:lineRule="auto"/>
        <w:ind w:left="380"/>
        <w:jc w:val="left"/>
        <w:textAlignment w:val="center"/>
        <w:rPr>
          <w:sz w:val="21"/>
        </w:rPr>
      </w:pPr>
    </w:p>
    <w:p w14:paraId="7268E963">
      <w:pPr>
        <w:keepNext w:val="0"/>
        <w:keepLines w:val="0"/>
        <w:pageBreakBefore w:val="0"/>
        <w:widowControl w:val="0"/>
        <w:kinsoku/>
        <w:wordWrap/>
        <w:overflowPunct/>
        <w:topLinePunct w:val="0"/>
        <w:autoSpaceDE/>
        <w:autoSpaceDN/>
        <w:bidi w:val="0"/>
        <w:adjustRightInd/>
        <w:snapToGrid/>
        <w:spacing w:line="276" w:lineRule="auto"/>
        <w:jc w:val="left"/>
        <w:textAlignment w:val="center"/>
        <w:rPr>
          <w:rFonts w:hint="eastAsia" w:ascii="宋体" w:hAnsi="宋体" w:eastAsia="宋体" w:cs="宋体"/>
          <w:b/>
          <w:i w:val="0"/>
          <w:color w:val="000000"/>
          <w:sz w:val="21"/>
          <w:lang w:val="en-US" w:eastAsia="zh-CN"/>
        </w:rPr>
      </w:pPr>
      <w:r>
        <w:rPr>
          <w:rFonts w:hint="eastAsia" w:ascii="宋体" w:hAnsi="宋体" w:cs="宋体"/>
          <w:b/>
          <w:i w:val="0"/>
          <w:color w:val="000000"/>
          <w:sz w:val="21"/>
          <w:lang w:val="en-US" w:eastAsia="zh-CN"/>
        </w:rPr>
        <w:t>二</w:t>
      </w:r>
      <w:r>
        <w:rPr>
          <w:rFonts w:ascii="宋体" w:hAnsi="宋体" w:eastAsia="宋体" w:cs="宋体"/>
          <w:b/>
          <w:i w:val="0"/>
          <w:color w:val="000000"/>
          <w:sz w:val="21"/>
        </w:rPr>
        <w:t>、</w:t>
      </w:r>
      <w:r>
        <w:rPr>
          <w:rFonts w:hint="eastAsia" w:ascii="宋体" w:hAnsi="宋体" w:cs="宋体"/>
          <w:b/>
          <w:i w:val="0"/>
          <w:color w:val="000000"/>
          <w:sz w:val="21"/>
          <w:lang w:val="en-US" w:eastAsia="zh-CN"/>
        </w:rPr>
        <w:t>非选择题（共60分。）</w:t>
      </w:r>
    </w:p>
    <w:p w14:paraId="2250074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17．番茄植株不耐高温，其生长适宜温度和光照分别为15~32℃、500~800μmol。安徽日光温室夏季栽培过程中常遭遇35℃及以上的高温并伴有强光辐射，会造成作物减产。图甲是番茄植株进行光合作用的示意图，其中PSⅡ和PSⅠ是吸收、传递、转化光能的光系统；Rubisco为某种参与光合作用的酶。</w:t>
      </w:r>
    </w:p>
    <w:p w14:paraId="21791E18">
      <w:pPr>
        <w:keepNext w:val="0"/>
        <w:keepLines w:val="0"/>
        <w:pageBreakBefore w:val="0"/>
        <w:widowControl w:val="0"/>
        <w:shd w:val="clear" w:color="auto" w:fill="auto"/>
        <w:kinsoku/>
        <w:wordWrap/>
        <w:overflowPunct/>
        <w:topLinePunct w:val="0"/>
        <w:autoSpaceDE/>
        <w:autoSpaceDN/>
        <w:bidi w:val="0"/>
        <w:adjustRightInd/>
        <w:snapToGrid/>
        <w:spacing w:line="276"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78075" cy="1710055"/>
            <wp:effectExtent l="0" t="0" r="3175" b="4445"/>
            <wp:docPr id="100025" name="图片 100025" descr="@@@8fffb272-b57b-4754-9500-78886a92aa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fffb272-b57b-4754-9500-78886a92aa25"/>
                    <pic:cNvPicPr>
                      <a:picLocks noChangeAspect="1"/>
                    </pic:cNvPicPr>
                  </pic:nvPicPr>
                  <pic:blipFill>
                    <a:blip r:embed="rId25">
                      <a:lum bright="-54000" contrast="72000"/>
                    </a:blip>
                    <a:stretch>
                      <a:fillRect/>
                    </a:stretch>
                  </pic:blipFill>
                  <pic:spPr>
                    <a:xfrm>
                      <a:off x="0" y="0"/>
                      <a:ext cx="2378075" cy="1710055"/>
                    </a:xfrm>
                    <a:prstGeom prst="rect">
                      <a:avLst/>
                    </a:prstGeom>
                  </pic:spPr>
                </pic:pic>
              </a:graphicData>
            </a:graphic>
          </wp:inline>
        </w:drawing>
      </w:r>
    </w:p>
    <w:p w14:paraId="4240AE9E">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(1)据图甲分析，番茄通过光反应可将光能转化为</w:t>
      </w:r>
      <w:r>
        <w:rPr>
          <w:rFonts w:ascii="Times New Roman" w:hAnsi="Times New Roman" w:eastAsia="Times New Roman" w:cs="Times New Roman"/>
          <w:b w:val="0"/>
          <w:sz w:val="21"/>
        </w:rPr>
        <w:t>______</w:t>
      </w:r>
      <w:r>
        <w:rPr>
          <w:sz w:val="21"/>
        </w:rPr>
        <w:t>中的化学能。水光解产生的H</w:t>
      </w:r>
      <w:r>
        <w:rPr>
          <w:sz w:val="21"/>
          <w:vertAlign w:val="superscript"/>
        </w:rPr>
        <w:t>+</w:t>
      </w:r>
      <w:r>
        <w:rPr>
          <w:sz w:val="21"/>
        </w:rPr>
        <w:t>通过ATP合成酶的跨膜运输方式是</w:t>
      </w:r>
      <w:r>
        <w:rPr>
          <w:rFonts w:ascii="Times New Roman" w:hAnsi="Times New Roman" w:eastAsia="Times New Roman" w:cs="Times New Roman"/>
          <w:b w:val="0"/>
          <w:sz w:val="21"/>
        </w:rPr>
        <w:t>______</w:t>
      </w:r>
      <w:r>
        <w:rPr>
          <w:sz w:val="21"/>
        </w:rPr>
        <w:t>。</w:t>
      </w:r>
    </w:p>
    <w:p w14:paraId="6200E5C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(2)为研究亚高温高光强对番茄光合作用的影响，研究者将番茄植株在CK条件（适宜温度和适宜光照）下和HH条件（亚高温高光强）下各培养5天后测定相关指标如下表。</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4"/>
        <w:gridCol w:w="666"/>
        <w:gridCol w:w="1763"/>
        <w:gridCol w:w="1763"/>
        <w:gridCol w:w="1814"/>
        <w:gridCol w:w="1034"/>
        <w:gridCol w:w="1270"/>
      </w:tblGrid>
      <w:tr w14:paraId="24B0E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F7232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p>
        </w:tc>
        <w:tc>
          <w:tcPr>
            <w:tcW w:w="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24AB5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8EA5C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光照强度</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31FC3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净光合速率（Pn）</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1BAAF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气孔导度</w:t>
            </w:r>
          </w:p>
        </w:tc>
        <w:tc>
          <w:tcPr>
            <w:tcW w:w="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878C5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胞间CO</w:t>
            </w:r>
            <w:r>
              <w:rPr>
                <w:sz w:val="21"/>
                <w:vertAlign w:val="subscript"/>
              </w:rPr>
              <w:t>2</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C3A697">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Rubisco（酶）</w:t>
            </w:r>
          </w:p>
        </w:tc>
      </w:tr>
      <w:tr w14:paraId="27130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6D96DA">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组别</w:t>
            </w:r>
          </w:p>
        </w:tc>
        <w:tc>
          <w:tcPr>
            <w:tcW w:w="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35F70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温度</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F28D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（μmol.m</w:t>
            </w:r>
            <w:r>
              <w:rPr>
                <w:sz w:val="21"/>
                <w:vertAlign w:val="superscript"/>
              </w:rPr>
              <w:t>-2.</w:t>
            </w:r>
            <w:r>
              <w:rPr>
                <w:sz w:val="21"/>
              </w:rPr>
              <w:t>s</w:t>
            </w:r>
            <w:r>
              <w:rPr>
                <w:sz w:val="21"/>
                <w:vertAlign w:val="superscript"/>
              </w:rPr>
              <w:t>-1</w:t>
            </w:r>
            <w:r>
              <w:rPr>
                <w:sz w:val="21"/>
              </w:rPr>
              <w:t xml:space="preserve"> ）</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0D5D0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（μmol.m</w:t>
            </w:r>
            <w:r>
              <w:rPr>
                <w:sz w:val="21"/>
                <w:vertAlign w:val="superscript"/>
              </w:rPr>
              <w:t>-2.</w:t>
            </w:r>
            <w:r>
              <w:rPr>
                <w:sz w:val="21"/>
              </w:rPr>
              <w:t>s</w:t>
            </w:r>
            <w:r>
              <w:rPr>
                <w:sz w:val="21"/>
                <w:vertAlign w:val="superscript"/>
              </w:rPr>
              <w:t>-1</w:t>
            </w:r>
            <w:r>
              <w:rPr>
                <w:sz w:val="21"/>
              </w:rPr>
              <w:t xml:space="preserve"> ）</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79285B">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（mmol.m</w:t>
            </w:r>
            <w:r>
              <w:rPr>
                <w:sz w:val="21"/>
                <w:vertAlign w:val="superscript"/>
              </w:rPr>
              <w:t>-2.</w:t>
            </w:r>
            <w:r>
              <w:rPr>
                <w:sz w:val="21"/>
              </w:rPr>
              <w:t>s</w:t>
            </w:r>
            <w:r>
              <w:rPr>
                <w:sz w:val="21"/>
                <w:vertAlign w:val="superscript"/>
              </w:rPr>
              <w:t>-1</w:t>
            </w:r>
            <w:r>
              <w:rPr>
                <w:sz w:val="21"/>
              </w:rPr>
              <w:t xml:space="preserve"> ）</w:t>
            </w:r>
          </w:p>
        </w:tc>
        <w:tc>
          <w:tcPr>
            <w:tcW w:w="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194F8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浓度（ppm）</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E2B9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活性（U.mL</w:t>
            </w:r>
            <w:r>
              <w:rPr>
                <w:sz w:val="21"/>
                <w:vertAlign w:val="superscript"/>
              </w:rPr>
              <w:t>-1</w:t>
            </w:r>
            <w:r>
              <w:rPr>
                <w:sz w:val="21"/>
              </w:rPr>
              <w:t>）</w:t>
            </w:r>
          </w:p>
        </w:tc>
      </w:tr>
      <w:tr w14:paraId="2E2E3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2127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CK</w:t>
            </w:r>
          </w:p>
        </w:tc>
        <w:tc>
          <w:tcPr>
            <w:tcW w:w="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901C2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25℃</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0931F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500</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E5955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12.1</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E930F7">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114.2</w:t>
            </w:r>
          </w:p>
        </w:tc>
        <w:tc>
          <w:tcPr>
            <w:tcW w:w="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11823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308</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E85BC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189</w:t>
            </w:r>
          </w:p>
        </w:tc>
      </w:tr>
      <w:tr w14:paraId="5C555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A7536B">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HH</w:t>
            </w:r>
          </w:p>
        </w:tc>
        <w:tc>
          <w:tcPr>
            <w:tcW w:w="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E6D3C1">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35℃</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9833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1000</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293FD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1.8</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6B1F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31.2</w:t>
            </w:r>
          </w:p>
        </w:tc>
        <w:tc>
          <w:tcPr>
            <w:tcW w:w="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C4B0E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448</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8C19F7">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61</w:t>
            </w:r>
          </w:p>
        </w:tc>
      </w:tr>
    </w:tbl>
    <w:p w14:paraId="4CE76E01">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导致光合速率降低的因素包括气孔限制因素（CO</w:t>
      </w:r>
      <w:r>
        <w:rPr>
          <w:sz w:val="21"/>
          <w:vertAlign w:val="subscript"/>
        </w:rPr>
        <w:t>2</w:t>
      </w:r>
      <w:r>
        <w:rPr>
          <w:sz w:val="21"/>
        </w:rPr>
        <w:t>供应不足）和非气孔限制因素（CO</w:t>
      </w:r>
      <w:r>
        <w:rPr>
          <w:sz w:val="21"/>
          <w:vertAlign w:val="subscript"/>
        </w:rPr>
        <w:t>2</w:t>
      </w:r>
      <w:r>
        <w:rPr>
          <w:sz w:val="21"/>
        </w:rPr>
        <w:t>得不到充分利用）。亚高温强光处理，导致番茄光合速率降低的因素属于</w:t>
      </w:r>
      <w:r>
        <w:rPr>
          <w:rFonts w:ascii="Times New Roman" w:hAnsi="Times New Roman" w:eastAsia="Times New Roman" w:cs="Times New Roman"/>
          <w:b w:val="0"/>
          <w:sz w:val="21"/>
        </w:rPr>
        <w:t>______</w:t>
      </w:r>
      <w:r>
        <w:rPr>
          <w:sz w:val="21"/>
        </w:rPr>
        <w:t>（填“气孔”或“非气孔”）限制因素。结合表中数据及图甲分析，亚高温强光条件下番茄净光合速率下降的主要原因是</w:t>
      </w:r>
      <w:r>
        <w:rPr>
          <w:rFonts w:ascii="Times New Roman" w:hAnsi="Times New Roman" w:eastAsia="Times New Roman" w:cs="Times New Roman"/>
          <w:b w:val="0"/>
          <w:sz w:val="21"/>
        </w:rPr>
        <w:t>______</w:t>
      </w:r>
      <w:r>
        <w:rPr>
          <w:sz w:val="21"/>
        </w:rPr>
        <w:t>。</w:t>
      </w:r>
    </w:p>
    <w:p w14:paraId="06B808F1">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植物通常会有一定的应对机制来适应逆境，D1蛋白是PSⅡ复合物的组成部分，对维持PSⅡ的结构和功能起重要作用。已有研究表明在亚高温高光强下，过剩的光能可使D1蛋白被破坏。已知SM可抑制D1蛋白的合成，研究者对D1蛋白与植物应对亚高温高光强逆境的关系进行了如下研究。利用番茄植株进行了三组实验，1组的处理同（2）中的CK，2组番茄植株在亚高温高光强（HH）条件下培养，3组的处理为</w:t>
      </w:r>
      <w:r>
        <w:rPr>
          <w:rFonts w:ascii="Times New Roman" w:hAnsi="Times New Roman" w:eastAsia="Times New Roman" w:cs="Times New Roman"/>
          <w:b w:val="0"/>
          <w:sz w:val="21"/>
        </w:rPr>
        <w:t>______</w:t>
      </w:r>
      <w:r>
        <w:rPr>
          <w:sz w:val="21"/>
        </w:rPr>
        <w:t>，定期测定各组植株的净光合速率（Pn）。实验结果如图乙，根据实验结果解释植物缓解亚高温高光强抑制光合作用的机制：</w:t>
      </w:r>
      <w:r>
        <w:rPr>
          <w:rFonts w:ascii="Times New Roman" w:hAnsi="Times New Roman" w:eastAsia="Times New Roman" w:cs="Times New Roman"/>
          <w:b w:val="0"/>
          <w:sz w:val="21"/>
        </w:rPr>
        <w:t>______</w:t>
      </w:r>
      <w:r>
        <w:rPr>
          <w:sz w:val="21"/>
        </w:rPr>
        <w:t>。</w:t>
      </w:r>
    </w:p>
    <w:p w14:paraId="25BC6EB6">
      <w:pPr>
        <w:keepNext w:val="0"/>
        <w:keepLines w:val="0"/>
        <w:pageBreakBefore w:val="0"/>
        <w:widowControl w:val="0"/>
        <w:shd w:val="clear" w:color="auto" w:fill="auto"/>
        <w:kinsoku/>
        <w:wordWrap/>
        <w:overflowPunct/>
        <w:topLinePunct w:val="0"/>
        <w:autoSpaceDE/>
        <w:autoSpaceDN/>
        <w:bidi w:val="0"/>
        <w:adjustRightInd/>
        <w:snapToGrid/>
        <w:spacing w:line="276"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77060" cy="1355725"/>
            <wp:effectExtent l="0" t="0" r="8890" b="15875"/>
            <wp:docPr id="100027" name="图片 100027" descr="@@@379627d0-2ffb-45e9-acfd-924ae6eb03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79627d0-2ffb-45e9-acfd-924ae6eb03c6"/>
                    <pic:cNvPicPr>
                      <a:picLocks noChangeAspect="1"/>
                    </pic:cNvPicPr>
                  </pic:nvPicPr>
                  <pic:blipFill>
                    <a:blip r:embed="rId26">
                      <a:lum bright="-24000" contrast="42000"/>
                    </a:blip>
                    <a:srcRect l="1857" t="3011" r="2514"/>
                    <a:stretch>
                      <a:fillRect/>
                    </a:stretch>
                  </pic:blipFill>
                  <pic:spPr>
                    <a:xfrm>
                      <a:off x="0" y="0"/>
                      <a:ext cx="1877060" cy="1355725"/>
                    </a:xfrm>
                    <a:prstGeom prst="rect">
                      <a:avLst/>
                    </a:prstGeom>
                  </pic:spPr>
                </pic:pic>
              </a:graphicData>
            </a:graphic>
          </wp:inline>
        </w:drawing>
      </w:r>
    </w:p>
    <w:p w14:paraId="75136F4A">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18．生态浮床也被称为人工浮床或生态浮岛，以水生植物为主体，运用无土栽培技术原理，以高分子材料等为载体和基质，建立高效的人工生态系统。它利用生态工程学原理，降解水中的COD、氮和磷，提高水体的透明度，主要用于生态修复和改善水质。下图为科研人员设计的生态浮床用来治理某湖泊污染的示意图，请回答下列问题：</w:t>
      </w:r>
    </w:p>
    <w:p w14:paraId="67DEA5B7">
      <w:pPr>
        <w:keepNext w:val="0"/>
        <w:keepLines w:val="0"/>
        <w:pageBreakBefore w:val="0"/>
        <w:widowControl w:val="0"/>
        <w:shd w:val="clear" w:color="auto" w:fill="auto"/>
        <w:kinsoku/>
        <w:wordWrap/>
        <w:overflowPunct/>
        <w:topLinePunct w:val="0"/>
        <w:autoSpaceDE/>
        <w:autoSpaceDN/>
        <w:bidi w:val="0"/>
        <w:adjustRightInd/>
        <w:snapToGrid/>
        <w:spacing w:line="276"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19450" cy="1676400"/>
            <wp:effectExtent l="0" t="0" r="0" b="0"/>
            <wp:docPr id="100029" name="图片 100029" descr="@@@8e86e898-35fc-4283-b2a8-327716c982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8e86e898-35fc-4283-b2a8-327716c982ec"/>
                    <pic:cNvPicPr>
                      <a:picLocks noChangeAspect="1"/>
                    </pic:cNvPicPr>
                  </pic:nvPicPr>
                  <pic:blipFill>
                    <a:blip r:embed="rId27"/>
                    <a:stretch>
                      <a:fillRect/>
                    </a:stretch>
                  </pic:blipFill>
                  <pic:spPr>
                    <a:xfrm>
                      <a:off x="0" y="0"/>
                      <a:ext cx="3219450" cy="1676400"/>
                    </a:xfrm>
                    <a:prstGeom prst="rect">
                      <a:avLst/>
                    </a:prstGeom>
                  </pic:spPr>
                </pic:pic>
              </a:graphicData>
            </a:graphic>
          </wp:inline>
        </w:drawing>
      </w:r>
    </w:p>
    <w:p w14:paraId="73F6911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(1)该湖泊由于附近工业废水、生活污水的大量排放，逐渐出现富营养化。其中蓝藻和绿藻等的大量增殖，使得水体出现</w:t>
      </w:r>
      <w:r>
        <w:rPr>
          <w:rFonts w:ascii="Times New Roman" w:hAnsi="Times New Roman" w:eastAsia="Times New Roman" w:cs="Times New Roman"/>
          <w:b w:val="0"/>
          <w:sz w:val="21"/>
        </w:rPr>
        <w:t>_________</w:t>
      </w:r>
      <w:r>
        <w:rPr>
          <w:sz w:val="21"/>
        </w:rPr>
        <w:t>现象，会影响水质和水生动物的生活。</w:t>
      </w:r>
    </w:p>
    <w:p w14:paraId="120C0BAB">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(2)图中生态浮床中预留较多孔洞的目的是</w:t>
      </w:r>
      <w:r>
        <w:rPr>
          <w:rFonts w:ascii="Times New Roman" w:hAnsi="Times New Roman" w:eastAsia="Times New Roman" w:cs="Times New Roman"/>
          <w:b w:val="0"/>
          <w:sz w:val="21"/>
        </w:rPr>
        <w:t>__________</w:t>
      </w:r>
      <w:r>
        <w:rPr>
          <w:sz w:val="21"/>
        </w:rPr>
        <w:t>。生态浮床对藻类有很好的抑制效果，能使水体透明度大幅度提高，主要是由于生态浮床中的植物通过</w:t>
      </w:r>
      <w:r>
        <w:rPr>
          <w:rFonts w:ascii="Times New Roman" w:hAnsi="Times New Roman" w:eastAsia="Times New Roman" w:cs="Times New Roman"/>
          <w:b w:val="0"/>
          <w:sz w:val="21"/>
        </w:rPr>
        <w:t>___________</w:t>
      </w:r>
      <w:r>
        <w:rPr>
          <w:sz w:val="21"/>
        </w:rPr>
        <w:t>、</w:t>
      </w:r>
      <w:r>
        <w:rPr>
          <w:rFonts w:ascii="Times New Roman" w:hAnsi="Times New Roman" w:eastAsia="Times New Roman" w:cs="Times New Roman"/>
          <w:b w:val="0"/>
          <w:sz w:val="21"/>
        </w:rPr>
        <w:t>___________</w:t>
      </w:r>
      <w:r>
        <w:rPr>
          <w:sz w:val="21"/>
        </w:rPr>
        <w:t>等，从而抑制水体蓝藻和绿藻等过度生长。此外，生态浮床植物根系富集的大量微生物对水体有机物也能进行清除，原理是</w:t>
      </w:r>
      <w:r>
        <w:rPr>
          <w:rFonts w:ascii="Times New Roman" w:hAnsi="Times New Roman" w:eastAsia="Times New Roman" w:cs="Times New Roman"/>
          <w:b w:val="0"/>
          <w:sz w:val="21"/>
        </w:rPr>
        <w:t>__________</w:t>
      </w:r>
      <w:r>
        <w:rPr>
          <w:sz w:val="21"/>
        </w:rPr>
        <w:t>。</w:t>
      </w:r>
    </w:p>
    <w:p w14:paraId="49C73D0F">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(3)科研人员利用复合生态浮床装置开展了“不同水生植物对生活污水净化效果的研究”，实验结果见下表。</w:t>
      </w:r>
    </w:p>
    <w:tbl>
      <w:tblPr>
        <w:tblStyle w:val="4"/>
        <w:tblW w:w="5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39"/>
        <w:gridCol w:w="834"/>
        <w:gridCol w:w="834"/>
        <w:gridCol w:w="834"/>
        <w:gridCol w:w="1564"/>
      </w:tblGrid>
      <w:tr w14:paraId="2226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EEB7BA">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8BDFD4">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对照组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76797A">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植物甲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59CB8F">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植物乙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1252BA">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植物甲、乙混合</w:t>
            </w:r>
          </w:p>
        </w:tc>
      </w:tr>
      <w:tr w14:paraId="740A8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47C212">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总氮去除率（%）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F0F0F0">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43.5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8870D">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91.2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045872">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91.7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103E55">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93.9</w:t>
            </w:r>
          </w:p>
        </w:tc>
      </w:tr>
      <w:tr w14:paraId="02E5F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ED4384">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总磷去除率（%）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FE6E9C">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37.6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EB80F">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82.1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D5AC6">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93.2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2CCEB6">
            <w:pPr>
              <w:keepNext w:val="0"/>
              <w:keepLines w:val="0"/>
              <w:pageBreakBefore w:val="0"/>
              <w:widowControl w:val="0"/>
              <w:shd w:val="clear" w:color="auto" w:fill="auto"/>
              <w:kinsoku/>
              <w:wordWrap/>
              <w:overflowPunct/>
              <w:topLinePunct w:val="0"/>
              <w:autoSpaceDE/>
              <w:autoSpaceDN/>
              <w:bidi w:val="0"/>
              <w:adjustRightInd/>
              <w:snapToGrid/>
              <w:spacing w:line="276" w:lineRule="auto"/>
              <w:jc w:val="center"/>
              <w:textAlignment w:val="center"/>
              <w:rPr>
                <w:sz w:val="21"/>
              </w:rPr>
            </w:pPr>
            <w:r>
              <w:rPr>
                <w:sz w:val="21"/>
              </w:rPr>
              <w:t>83.5</w:t>
            </w:r>
          </w:p>
        </w:tc>
      </w:tr>
    </w:tbl>
    <w:p w14:paraId="4EBEB6E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从表中数据可以得出的结论有</w:t>
      </w:r>
      <w:r>
        <w:rPr>
          <w:rFonts w:ascii="Times New Roman" w:hAnsi="Times New Roman" w:eastAsia="Times New Roman" w:cs="Times New Roman"/>
          <w:b w:val="0"/>
          <w:sz w:val="21"/>
        </w:rPr>
        <w:t>__________</w:t>
      </w:r>
      <w:r>
        <w:rPr>
          <w:sz w:val="21"/>
        </w:rPr>
        <w:t>（请答出1点）。</w:t>
      </w:r>
    </w:p>
    <w:p w14:paraId="362095D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(4)立体生态浮床具有净化水质和美化环境的作用，体现了生物多样性的</w:t>
      </w:r>
      <w:r>
        <w:rPr>
          <w:rFonts w:ascii="Times New Roman" w:hAnsi="Times New Roman" w:eastAsia="Times New Roman" w:cs="Times New Roman"/>
          <w:b w:val="0"/>
          <w:sz w:val="21"/>
        </w:rPr>
        <w:t>___________</w:t>
      </w:r>
      <w:r>
        <w:rPr>
          <w:sz w:val="21"/>
        </w:rPr>
        <w:t>价值。处于生态恢复建设中的水产养殖基地需根据水域面积的大小、环境承载力等确定鱼的种类和放养量，体现了生态工程的</w:t>
      </w:r>
      <w:r>
        <w:rPr>
          <w:rFonts w:ascii="Times New Roman" w:hAnsi="Times New Roman" w:eastAsia="Times New Roman" w:cs="Times New Roman"/>
          <w:b w:val="0"/>
          <w:sz w:val="21"/>
        </w:rPr>
        <w:t>__________</w:t>
      </w:r>
      <w:r>
        <w:rPr>
          <w:sz w:val="21"/>
        </w:rPr>
        <w:t>原理。</w:t>
      </w:r>
    </w:p>
    <w:p w14:paraId="60F5032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19．人β防御素（由H基因编码）是一种抗菌肽，科研人员欲利用酵母对其进行生产。</w:t>
      </w:r>
    </w:p>
    <w:p w14:paraId="20ED3B6A">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(1)获得H基因的序列信息后，可以其cDNA为模板通过</w:t>
      </w:r>
      <w:r>
        <w:rPr>
          <w:rFonts w:ascii="Times New Roman" w:hAnsi="Times New Roman" w:eastAsia="Times New Roman" w:cs="Times New Roman"/>
          <w:b w:val="0"/>
          <w:sz w:val="21"/>
        </w:rPr>
        <w:t>_____</w:t>
      </w:r>
      <w:r>
        <w:rPr>
          <w:sz w:val="21"/>
        </w:rPr>
        <w:t>方法获得该基因。</w:t>
      </w:r>
    </w:p>
    <w:p w14:paraId="6A4981D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由于人β防御素会损伤酵母细胞，组成型表达（持续表达）H的酵母菌最大种群数量偏低，限制了最终产量。科研人员在酵母菌基因组DNA中插入Р和S基因，使质粒上H基因的表达受到红光控制。红光调控H基因表达的原理如图1所示。</w:t>
      </w:r>
    </w:p>
    <w:p w14:paraId="28712E0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28315" cy="1082040"/>
            <wp:effectExtent l="0" t="0" r="635" b="3810"/>
            <wp:docPr id="100031" name="图片 100031" descr="@@@0c2ce9e0-298e-403b-b0ea-54ede551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c2ce9e0-298e-403b-b0ea-54ede5511656"/>
                    <pic:cNvPicPr>
                      <a:picLocks noChangeAspect="1"/>
                    </pic:cNvPicPr>
                  </pic:nvPicPr>
                  <pic:blipFill>
                    <a:blip r:embed="rId28"/>
                    <a:stretch>
                      <a:fillRect/>
                    </a:stretch>
                  </pic:blipFill>
                  <pic:spPr>
                    <a:xfrm>
                      <a:off x="0" y="0"/>
                      <a:ext cx="3028315" cy="1082040"/>
                    </a:xfrm>
                    <a:prstGeom prst="rect">
                      <a:avLst/>
                    </a:prstGeom>
                  </pic:spPr>
                </pic:pic>
              </a:graphicData>
            </a:graphic>
          </wp:inline>
        </w:drawing>
      </w:r>
    </w:p>
    <w:p w14:paraId="43E304F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P和S基因应为</w:t>
      </w:r>
      <w:r>
        <w:rPr>
          <w:rFonts w:ascii="Times New Roman" w:hAnsi="Times New Roman" w:eastAsia="Times New Roman" w:cs="Times New Roman"/>
          <w:b w:val="0"/>
          <w:sz w:val="21"/>
        </w:rPr>
        <w:t>_____</w:t>
      </w:r>
      <w:r>
        <w:rPr>
          <w:sz w:val="21"/>
        </w:rPr>
        <w:t>（填“组成型表达”或“红光诱导表达”）。</w:t>
      </w:r>
    </w:p>
    <w:p w14:paraId="25A0CDC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发酵后菌体和产物分离是发酵工艺的基本环节。定位于细胞表面的F蛋白可使酵母细胞彼此结合，进而沉淀在发酵罐底部。科研人员引入蓝光激活系统（图2），在酵母菌基因组中插入了2个E基因，使F基因的表达受到蓝光控制（图3）。</w:t>
      </w:r>
    </w:p>
    <w:p w14:paraId="1CABC43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60725" cy="2482215"/>
            <wp:effectExtent l="0" t="0" r="15875" b="13335"/>
            <wp:docPr id="100033" name="图片 100033" descr="@@@650301a5-7b65-4d94-86f3-d14e316e0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650301a5-7b65-4d94-86f3-d14e316e0534"/>
                    <pic:cNvPicPr>
                      <a:picLocks noChangeAspect="1"/>
                    </pic:cNvPicPr>
                  </pic:nvPicPr>
                  <pic:blipFill>
                    <a:blip r:embed="rId29"/>
                    <a:stretch>
                      <a:fillRect/>
                    </a:stretch>
                  </pic:blipFill>
                  <pic:spPr>
                    <a:xfrm>
                      <a:off x="0" y="0"/>
                      <a:ext cx="3260725" cy="2482215"/>
                    </a:xfrm>
                    <a:prstGeom prst="rect">
                      <a:avLst/>
                    </a:prstGeom>
                  </pic:spPr>
                </pic:pic>
              </a:graphicData>
            </a:graphic>
          </wp:inline>
        </w:drawing>
      </w:r>
    </w:p>
    <w:p w14:paraId="1E29CAE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图3中两个E基因作用分别是</w:t>
      </w:r>
      <w:r>
        <w:rPr>
          <w:rFonts w:ascii="Times New Roman" w:hAnsi="Times New Roman" w:eastAsia="Times New Roman" w:cs="Times New Roman"/>
          <w:b w:val="0"/>
          <w:sz w:val="21"/>
        </w:rPr>
        <w:t>_____</w:t>
      </w:r>
      <w:r>
        <w:rPr>
          <w:sz w:val="21"/>
        </w:rPr>
        <w:t>。</w:t>
      </w:r>
    </w:p>
    <w:p w14:paraId="3A6F015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(4)工程菌泄露到环境中可能引发环境问题。科研人员利用两种阻遏蛋白基因（T和L）和调控元件，使酵母细胞在红光和蓝光同时照射时才激活致死基因N的表达，进而诱导工程菌死亡（图4）。</w:t>
      </w:r>
    </w:p>
    <w:p w14:paraId="2DB7D110">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33420" cy="1638300"/>
            <wp:effectExtent l="0" t="0" r="5080" b="0"/>
            <wp:docPr id="100035" name="图片 100035" descr="@@@acee260e-490e-46f4-8ac7-66c62bc26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cee260e-490e-46f4-8ac7-66c62bc26042"/>
                    <pic:cNvPicPr>
                      <a:picLocks noChangeAspect="1"/>
                    </pic:cNvPicPr>
                  </pic:nvPicPr>
                  <pic:blipFill>
                    <a:blip r:embed="rId30"/>
                    <a:stretch>
                      <a:fillRect/>
                    </a:stretch>
                  </pic:blipFill>
                  <pic:spPr>
                    <a:xfrm>
                      <a:off x="0" y="0"/>
                      <a:ext cx="3233420" cy="1638300"/>
                    </a:xfrm>
                    <a:prstGeom prst="rect">
                      <a:avLst/>
                    </a:prstGeom>
                  </pic:spPr>
                </pic:pic>
              </a:graphicData>
            </a:graphic>
          </wp:inline>
        </w:drawing>
      </w:r>
    </w:p>
    <w:p w14:paraId="54DFC09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图4中①②应选用的启动子为：①</w:t>
      </w:r>
      <w:r>
        <w:rPr>
          <w:rFonts w:ascii="Times New Roman" w:hAnsi="Times New Roman" w:eastAsia="Times New Roman" w:cs="Times New Roman"/>
          <w:b w:val="0"/>
          <w:sz w:val="21"/>
        </w:rPr>
        <w:t>_____</w:t>
      </w:r>
      <w:r>
        <w:rPr>
          <w:sz w:val="21"/>
        </w:rPr>
        <w:t>，②</w:t>
      </w:r>
      <w:r>
        <w:rPr>
          <w:rFonts w:ascii="Times New Roman" w:hAnsi="Times New Roman" w:eastAsia="Times New Roman" w:cs="Times New Roman"/>
          <w:b w:val="0"/>
          <w:sz w:val="21"/>
        </w:rPr>
        <w:t>_____</w:t>
      </w:r>
      <w:r>
        <w:rPr>
          <w:sz w:val="21"/>
        </w:rPr>
        <w:t>。</w:t>
      </w:r>
    </w:p>
    <w:p w14:paraId="3CFBF6D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A．Jub</w:t>
      </w:r>
      <w:r>
        <w:rPr>
          <w:rFonts w:ascii="Times New Roman" w:hAnsi="Times New Roman" w:eastAsia="Times New Roman" w:cs="Times New Roman"/>
          <w:kern w:val="0"/>
          <w:sz w:val="24"/>
          <w:szCs w:val="24"/>
        </w:rPr>
        <w:t>            </w:t>
      </w:r>
      <w:r>
        <w:rPr>
          <w:sz w:val="21"/>
        </w:rPr>
        <w:t>B．ACT</w:t>
      </w:r>
      <w:r>
        <w:rPr>
          <w:rFonts w:ascii="Times New Roman" w:hAnsi="Times New Roman" w:eastAsia="Times New Roman" w:cs="Times New Roman"/>
          <w:kern w:val="0"/>
          <w:sz w:val="24"/>
          <w:szCs w:val="24"/>
        </w:rPr>
        <w:t>            </w:t>
      </w:r>
      <w:r>
        <w:rPr>
          <w:sz w:val="21"/>
        </w:rPr>
        <w:t>C．CYC</w:t>
      </w:r>
    </w:p>
    <w:p w14:paraId="37D48D6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图4中③④处结合的阻遏蛋白为：③</w:t>
      </w:r>
      <w:r>
        <w:rPr>
          <w:rFonts w:ascii="Times New Roman" w:hAnsi="Times New Roman" w:eastAsia="Times New Roman" w:cs="Times New Roman"/>
          <w:b w:val="0"/>
          <w:sz w:val="21"/>
        </w:rPr>
        <w:t>_____</w:t>
      </w:r>
      <w:r>
        <w:rPr>
          <w:sz w:val="21"/>
        </w:rPr>
        <w:t>，④</w:t>
      </w:r>
      <w:r>
        <w:rPr>
          <w:rFonts w:ascii="Times New Roman" w:hAnsi="Times New Roman" w:eastAsia="Times New Roman" w:cs="Times New Roman"/>
          <w:b w:val="0"/>
          <w:sz w:val="21"/>
        </w:rPr>
        <w:t>_____</w:t>
      </w:r>
      <w:r>
        <w:rPr>
          <w:sz w:val="21"/>
        </w:rPr>
        <w:t>。</w:t>
      </w:r>
    </w:p>
    <w:p w14:paraId="30112DD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a、T蛋白</w:t>
      </w:r>
      <w:r>
        <w:rPr>
          <w:rFonts w:ascii="Times New Roman" w:hAnsi="Times New Roman" w:eastAsia="Times New Roman" w:cs="Times New Roman"/>
          <w:kern w:val="0"/>
          <w:sz w:val="24"/>
          <w:szCs w:val="24"/>
        </w:rPr>
        <w:t>            </w:t>
      </w:r>
      <w:r>
        <w:rPr>
          <w:sz w:val="21"/>
        </w:rPr>
        <w:t>b、L蛋白</w:t>
      </w:r>
    </w:p>
    <w:p w14:paraId="16C1AB9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rFonts w:ascii="Times New Roman" w:hAnsi="Times New Roman" w:eastAsia="Times New Roman" w:cs="Times New Roman"/>
          <w:b w:val="0"/>
          <w:sz w:val="21"/>
        </w:rPr>
      </w:pPr>
      <w:r>
        <w:rPr>
          <w:sz w:val="21"/>
        </w:rPr>
        <w:t>(5)写出利用该工程菌发酵生产人β防御素的步骤。</w:t>
      </w:r>
      <w:r>
        <w:rPr>
          <w:rFonts w:ascii="Times New Roman" w:hAnsi="Times New Roman" w:eastAsia="Times New Roman" w:cs="Times New Roman"/>
          <w:b w:val="0"/>
          <w:sz w:val="21"/>
        </w:rPr>
        <w:t>_____</w:t>
      </w:r>
    </w:p>
    <w:p w14:paraId="5E87843A">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rFonts w:ascii="Times New Roman" w:hAnsi="Times New Roman" w:eastAsia="Times New Roman" w:cs="Times New Roman"/>
          <w:b w:val="0"/>
          <w:sz w:val="21"/>
        </w:rPr>
      </w:pPr>
    </w:p>
    <w:p w14:paraId="035F03C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rFonts w:ascii="Times New Roman" w:hAnsi="Times New Roman" w:eastAsia="Times New Roman" w:cs="Times New Roman"/>
          <w:b w:val="0"/>
          <w:sz w:val="21"/>
        </w:rPr>
      </w:pPr>
    </w:p>
    <w:p w14:paraId="2D0A0F5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20．传统观点认为，体温调节主要依赖于下丘脑对温度信号的即时响应。近期研究发现大脑的记忆功能也参与其中。研究者以小鼠为模型对此进行了探索。</w:t>
      </w:r>
    </w:p>
    <w:p w14:paraId="3CDD1FE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(1)小鼠初次暴露于4℃寒冷环境时，位于皮肤的冷觉感受器受到刺激并产生</w:t>
      </w:r>
      <w:r>
        <w:rPr>
          <w:rFonts w:ascii="Times New Roman" w:hAnsi="Times New Roman" w:eastAsia="Times New Roman" w:cs="Times New Roman"/>
          <w:b w:val="0"/>
          <w:sz w:val="21"/>
        </w:rPr>
        <w:t>_____</w:t>
      </w:r>
      <w:r>
        <w:rPr>
          <w:sz w:val="21"/>
        </w:rPr>
        <w:t>，传递至下丘脑体温调节中枢，实现</w:t>
      </w:r>
      <w:r>
        <w:rPr>
          <w:rFonts w:ascii="Times New Roman" w:hAnsi="Times New Roman" w:eastAsia="Times New Roman" w:cs="Times New Roman"/>
          <w:b w:val="0"/>
          <w:sz w:val="21"/>
        </w:rPr>
        <w:t>_____</w:t>
      </w:r>
      <w:r>
        <w:rPr>
          <w:sz w:val="21"/>
        </w:rPr>
        <w:t>的平衡，维持体温恒定。</w:t>
      </w:r>
    </w:p>
    <w:p w14:paraId="510D318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(2)为探究小鼠能否形成寒冷记忆，研究者设计了“热调节巴甫洛夫条件反射”实验（图1），并检测了小鼠的代谢率（以耗氧速率V</w:t>
      </w:r>
      <w:r>
        <w:rPr>
          <w:sz w:val="21"/>
          <w:vertAlign w:val="subscript"/>
        </w:rPr>
        <w:t>O2</w:t>
      </w:r>
      <w:r>
        <w:rPr>
          <w:sz w:val="21"/>
        </w:rPr>
        <w:t>表示），结果如图2。</w:t>
      </w:r>
    </w:p>
    <w:p w14:paraId="4876AA5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52720" cy="3839845"/>
            <wp:effectExtent l="0" t="0" r="5080" b="8255"/>
            <wp:docPr id="100037" name="图片 100037" descr="@@@3e9bfcfe-57af-4f4c-9bda-e947fa6e51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3e9bfcfe-57af-4f4c-9bda-e947fa6e51b2"/>
                    <pic:cNvPicPr>
                      <a:picLocks noChangeAspect="1"/>
                    </pic:cNvPicPr>
                  </pic:nvPicPr>
                  <pic:blipFill>
                    <a:blip r:embed="rId31">
                      <a:lum bright="-24000" contrast="48000"/>
                    </a:blip>
                    <a:stretch>
                      <a:fillRect/>
                    </a:stretch>
                  </pic:blipFill>
                  <pic:spPr>
                    <a:xfrm>
                      <a:off x="0" y="0"/>
                      <a:ext cx="5252720" cy="3839845"/>
                    </a:xfrm>
                    <a:prstGeom prst="rect">
                      <a:avLst/>
                    </a:prstGeom>
                  </pic:spPr>
                </pic:pic>
              </a:graphicData>
            </a:graphic>
          </wp:inline>
        </w:drawing>
      </w:r>
    </w:p>
    <w:p w14:paraId="61BEE05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图1实验中，</w:t>
      </w:r>
      <w:r>
        <w:rPr>
          <w:rFonts w:ascii="Times New Roman" w:hAnsi="Times New Roman" w:eastAsia="Times New Roman" w:cs="Times New Roman"/>
          <w:b w:val="0"/>
          <w:sz w:val="21"/>
        </w:rPr>
        <w:t>_____</w:t>
      </w:r>
      <w:r>
        <w:rPr>
          <w:sz w:val="21"/>
        </w:rPr>
        <w:t>作为条件刺激。图2结果说明小鼠“热调节巴甫洛夫条件反射”已成功建立，依据是</w:t>
      </w:r>
      <w:r>
        <w:rPr>
          <w:rFonts w:ascii="Times New Roman" w:hAnsi="Times New Roman" w:eastAsia="Times New Roman" w:cs="Times New Roman"/>
          <w:b w:val="0"/>
          <w:sz w:val="21"/>
        </w:rPr>
        <w:t>_____</w:t>
      </w:r>
      <w:r>
        <w:rPr>
          <w:sz w:val="21"/>
        </w:rPr>
        <w:t>。</w:t>
      </w:r>
    </w:p>
    <w:p w14:paraId="6A66397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(3)为探究寒冷记忆的神经机制，研究者进行了如下实验。</w:t>
      </w:r>
    </w:p>
    <w:p w14:paraId="55A042D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①海马齿状回（DG）区域存在“寒冷记忆印迹细胞（CE）”。在图1实验</w:t>
      </w:r>
      <w:r>
        <w:rPr>
          <w:rFonts w:ascii="Times New Roman" w:hAnsi="Times New Roman" w:eastAsia="Times New Roman" w:cs="Times New Roman"/>
          <w:b w:val="0"/>
          <w:sz w:val="21"/>
        </w:rPr>
        <w:t>_____</w:t>
      </w:r>
      <w:r>
        <w:rPr>
          <w:sz w:val="21"/>
        </w:rPr>
        <w:t>期用药物抑制该细胞的活性，发现与对照组相比，实验组小鼠在21℃环境B中的代谢率</w:t>
      </w:r>
      <w:r>
        <w:rPr>
          <w:rFonts w:ascii="Times New Roman" w:hAnsi="Times New Roman" w:eastAsia="Times New Roman" w:cs="Times New Roman"/>
          <w:b w:val="0"/>
          <w:sz w:val="21"/>
        </w:rPr>
        <w:t>_____</w:t>
      </w:r>
      <w:r>
        <w:rPr>
          <w:sz w:val="21"/>
        </w:rPr>
        <w:t>，说明DG区是寒冷记忆储存与运用的关键脑区。</w:t>
      </w:r>
    </w:p>
    <w:p w14:paraId="345EEC2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②寒冷训练会诱导CE细胞中F基因表达上调，使CE细胞激活。将上述F基因启动子与光敏钠离子通道蛋白基因拼接，转入小鼠获得转基因小鼠。照射蓝光，可使该钠离子通道打开。进一步研究发现DG与下丘脑外侧区（LHA）之间存在神经连接，推测DG区经寒冷训练激活的CE细胞可在记忆提取时激活LHA区神经玩，引发机体代谢产热。研究者利用上述转基因小鼠证实了该推测，请完善实验方案并预期实验结果。</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69"/>
        <w:gridCol w:w="1647"/>
        <w:gridCol w:w="1647"/>
        <w:gridCol w:w="1875"/>
        <w:gridCol w:w="2287"/>
      </w:tblGrid>
      <w:tr w14:paraId="78B66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A091E">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组别</w:t>
            </w:r>
          </w:p>
        </w:tc>
        <w:tc>
          <w:tcPr>
            <w:tcW w:w="5085"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9AB45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实验条件</w:t>
            </w:r>
          </w:p>
        </w:tc>
        <w:tc>
          <w:tcPr>
            <w:tcW w:w="162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B56E1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实验结果</w:t>
            </w:r>
          </w:p>
        </w:tc>
      </w:tr>
      <w:tr w14:paraId="3C1C6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BDFB12F">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7C39CA">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适应阶段</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6AE3B">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训练阶段</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467A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测试阶段（记忆测试期）</w:t>
            </w:r>
          </w:p>
        </w:tc>
        <w:tc>
          <w:tcPr>
            <w:vMerge w:val="continue"/>
            <w:tcBorders>
              <w:top w:val="single" w:color="000000" w:sz="6" w:space="0"/>
              <w:left w:val="single" w:color="000000" w:sz="6" w:space="0"/>
              <w:bottom w:val="single" w:color="000000" w:sz="6" w:space="0"/>
              <w:right w:val="single" w:color="000000" w:sz="6" w:space="0"/>
            </w:tcBorders>
          </w:tcPr>
          <w:p w14:paraId="30213DA0">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p>
        </w:tc>
      </w:tr>
      <w:tr w14:paraId="5FE7D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DC564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实验组</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DD3F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21℃，环境A</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1AC47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I</w:t>
            </w:r>
            <w:r>
              <w:rPr>
                <w:rFonts w:ascii="Times New Roman" w:hAnsi="Times New Roman" w:eastAsia="Times New Roman" w:cs="Times New Roman"/>
                <w:b w:val="0"/>
                <w:sz w:val="21"/>
              </w:rPr>
              <w:t>_____</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BEE177">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Ⅲ</w:t>
            </w:r>
            <w:r>
              <w:rPr>
                <w:rFonts w:ascii="Times New Roman" w:hAnsi="Times New Roman" w:eastAsia="Times New Roman" w:cs="Times New Roman"/>
                <w:b w:val="0"/>
                <w:sz w:val="21"/>
              </w:rPr>
              <w:t>_____</w:t>
            </w:r>
          </w:p>
        </w:tc>
        <w:tc>
          <w:tcPr>
            <w:tcW w:w="22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A5CC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与对照组相比，实验组IV</w:t>
            </w:r>
            <w:r>
              <w:rPr>
                <w:rFonts w:ascii="Times New Roman" w:hAnsi="Times New Roman" w:eastAsia="Times New Roman" w:cs="Times New Roman"/>
                <w:b w:val="0"/>
                <w:sz w:val="21"/>
              </w:rPr>
              <w:t>_____</w:t>
            </w:r>
          </w:p>
        </w:tc>
      </w:tr>
      <w:tr w14:paraId="546C0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F009DA">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对照组</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6A7A4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21℃，环境A</w:t>
            </w:r>
          </w:p>
        </w:tc>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07C49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II</w:t>
            </w:r>
            <w:r>
              <w:rPr>
                <w:rFonts w:ascii="Times New Roman" w:hAnsi="Times New Roman" w:eastAsia="Times New Roman" w:cs="Times New Roman"/>
                <w:b w:val="0"/>
                <w:sz w:val="21"/>
              </w:rPr>
              <w:t>_____</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AAE601">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21℃，环境A；照射蓝光</w:t>
            </w:r>
          </w:p>
        </w:tc>
        <w:tc>
          <w:tcPr>
            <w:vMerge w:val="continue"/>
            <w:tcBorders>
              <w:top w:val="single" w:color="000000" w:sz="6" w:space="0"/>
              <w:left w:val="single" w:color="000000" w:sz="6" w:space="0"/>
              <w:bottom w:val="single" w:color="000000" w:sz="6" w:space="0"/>
              <w:right w:val="single" w:color="000000" w:sz="6" w:space="0"/>
            </w:tcBorders>
          </w:tcPr>
          <w:p w14:paraId="7DD37731">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p>
        </w:tc>
      </w:tr>
    </w:tbl>
    <w:p w14:paraId="49D971E1">
      <w:pPr>
        <w:keepNext w:val="0"/>
        <w:keepLines w:val="0"/>
        <w:pageBreakBefore w:val="0"/>
        <w:widowControl w:val="0"/>
        <w:numPr>
          <w:ilvl w:val="0"/>
          <w:numId w:val="2"/>
        </w:numPr>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与由皮肤冷觉感受器触发的非条件反射性产热相比，由“寒冷记忆”触发的条件反射性产热在调节特点上的优势为</w:t>
      </w:r>
      <w:r>
        <w:rPr>
          <w:rFonts w:ascii="Times New Roman" w:hAnsi="Times New Roman" w:eastAsia="Times New Roman" w:cs="Times New Roman"/>
          <w:b w:val="0"/>
          <w:sz w:val="21"/>
        </w:rPr>
        <w:t>_____</w:t>
      </w:r>
      <w:r>
        <w:rPr>
          <w:sz w:val="21"/>
        </w:rPr>
        <w:t>。</w:t>
      </w:r>
    </w:p>
    <w:p w14:paraId="146B8B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76" w:lineRule="auto"/>
        <w:jc w:val="left"/>
        <w:textAlignment w:val="center"/>
        <w:rPr>
          <w:sz w:val="21"/>
        </w:rPr>
      </w:pPr>
    </w:p>
    <w:p w14:paraId="1324626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21．健康人被感染疟原虫的按蚊叮咬会感染疟疾。研究人员尝试利用基因编辑技术控制按蚊种群密度，从而降低疟疾感染率。</w:t>
      </w:r>
    </w:p>
    <w:p w14:paraId="427AE1C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按蚊的性别决定方式为XY型，常染色体上的D基因是决定性别的关键基因。雌雄个体D基因碱基序列相同，但在不同性别胚胎的发育过程中，D基因转录出的mRNA前体剪切和连接方式不同，如图1.形成的成熟mRNA在核糖体上</w:t>
      </w:r>
      <w:r>
        <w:rPr>
          <w:rFonts w:ascii="Times New Roman" w:hAnsi="Times New Roman" w:eastAsia="Times New Roman" w:cs="Times New Roman"/>
          <w:b w:val="0"/>
          <w:sz w:val="21"/>
        </w:rPr>
        <w:t>___________</w:t>
      </w:r>
      <w:r>
        <w:rPr>
          <w:sz w:val="21"/>
        </w:rPr>
        <w:t>出雌性特有的DF蛋白或雄性特有的DM蛋白。有人认为这种差异性表达的现象属于表观遗传，依据是</w:t>
      </w:r>
      <w:r>
        <w:rPr>
          <w:rFonts w:ascii="Times New Roman" w:hAnsi="Times New Roman" w:eastAsia="Times New Roman" w:cs="Times New Roman"/>
          <w:b w:val="0"/>
          <w:sz w:val="21"/>
        </w:rPr>
        <w:t>___________</w:t>
      </w:r>
      <w:r>
        <w:rPr>
          <w:sz w:val="21"/>
        </w:rPr>
        <w:t>。</w:t>
      </w:r>
    </w:p>
    <w:p w14:paraId="620E47A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831840" cy="1765300"/>
            <wp:effectExtent l="0" t="0" r="16510" b="6350"/>
            <wp:docPr id="100039" name="图片 100039" descr="@@@5e4e766a-2f0c-4385-98f6-cff7f8ed5f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5e4e766a-2f0c-4385-98f6-cff7f8ed5f87"/>
                    <pic:cNvPicPr>
                      <a:picLocks noChangeAspect="1"/>
                    </pic:cNvPicPr>
                  </pic:nvPicPr>
                  <pic:blipFill>
                    <a:blip r:embed="rId32"/>
                    <a:stretch>
                      <a:fillRect/>
                    </a:stretch>
                  </pic:blipFill>
                  <pic:spPr>
                    <a:xfrm>
                      <a:off x="0" y="0"/>
                      <a:ext cx="5831840" cy="1765300"/>
                    </a:xfrm>
                    <a:prstGeom prst="rect">
                      <a:avLst/>
                    </a:prstGeom>
                  </pic:spPr>
                </pic:pic>
              </a:graphicData>
            </a:graphic>
          </wp:inline>
        </w:drawing>
      </w:r>
    </w:p>
    <w:p w14:paraId="4E46C3AB">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CRISPR/Cas9基因编辑系统通过sgRNA与特定DNA序列配对，Cas9酶识别、结合并切割sgRNA配对的DNA序列，实现针对该位置的基因编辑。研究者利用该系统获得D基因外显子部分序列缺失的基因D'，D'不能产生有活性的蛋白质。</w:t>
      </w:r>
    </w:p>
    <w:p w14:paraId="3AC2069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①由于</w:t>
      </w:r>
      <w:r>
        <w:rPr>
          <w:rFonts w:ascii="Times New Roman" w:hAnsi="Times New Roman" w:eastAsia="Times New Roman" w:cs="Times New Roman"/>
          <w:b w:val="0"/>
          <w:sz w:val="21"/>
        </w:rPr>
        <w:t>___________</w:t>
      </w:r>
      <w:r>
        <w:rPr>
          <w:sz w:val="21"/>
        </w:rPr>
        <w:t>，所以研究者导入与外显子5序列配对的sgRNA，完成基因编辑后，不影响DM活性，只影响DF活性。</w:t>
      </w:r>
    </w:p>
    <w:p w14:paraId="03CB2A1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②将上述CRISPR/Cas9系统相关基因插入按蚊Y染色体，得到按蚊B，其中两个D基因均被成功编辑，如图2所示。</w:t>
      </w:r>
    </w:p>
    <w:p w14:paraId="4181693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66770" cy="1626870"/>
            <wp:effectExtent l="0" t="0" r="5080" b="11430"/>
            <wp:docPr id="100041" name="图片 100041" descr="@@@7b220141-0804-4b78-8490-ccdfb0c91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7b220141-0804-4b78-8490-ccdfb0c91ded"/>
                    <pic:cNvPicPr>
                      <a:picLocks noChangeAspect="1"/>
                    </pic:cNvPicPr>
                  </pic:nvPicPr>
                  <pic:blipFill>
                    <a:blip r:embed="rId33"/>
                    <a:stretch>
                      <a:fillRect/>
                    </a:stretch>
                  </pic:blipFill>
                  <pic:spPr>
                    <a:xfrm>
                      <a:off x="0" y="0"/>
                      <a:ext cx="3366770" cy="1626870"/>
                    </a:xfrm>
                    <a:prstGeom prst="rect">
                      <a:avLst/>
                    </a:prstGeom>
                  </pic:spPr>
                </pic:pic>
              </a:graphicData>
            </a:graphic>
          </wp:inline>
        </w:drawing>
      </w:r>
    </w:p>
    <w:p w14:paraId="014A221E">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按蚊B与野生型雌蚊杂交，F</w:t>
      </w:r>
      <w:r>
        <w:rPr>
          <w:sz w:val="21"/>
          <w:vertAlign w:val="subscript"/>
        </w:rPr>
        <w:t>1</w:t>
      </w:r>
      <w:r>
        <w:rPr>
          <w:sz w:val="21"/>
        </w:rPr>
        <w:t>中的雄蚊正常，雌蚊全部不育，推测D'基因会导致雌性不育。请判断D'基因和D基因的显隐性关系，并说明理由</w:t>
      </w:r>
      <w:r>
        <w:rPr>
          <w:rFonts w:ascii="Times New Roman" w:hAnsi="Times New Roman" w:eastAsia="Times New Roman" w:cs="Times New Roman"/>
          <w:b w:val="0"/>
          <w:sz w:val="21"/>
        </w:rPr>
        <w:t>___________</w:t>
      </w:r>
      <w:r>
        <w:rPr>
          <w:sz w:val="21"/>
        </w:rPr>
        <w:t>。</w:t>
      </w:r>
    </w:p>
    <w:p w14:paraId="7F24266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(3)为了探究上述D和D'基因的性状表现机制，研究人员提出两种假设：</w:t>
      </w:r>
    </w:p>
    <w:p w14:paraId="1720225B">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假设1：F</w:t>
      </w:r>
      <w:r>
        <w:rPr>
          <w:sz w:val="21"/>
          <w:vertAlign w:val="subscript"/>
        </w:rPr>
        <w:t>1</w:t>
      </w:r>
      <w:r>
        <w:rPr>
          <w:sz w:val="21"/>
        </w:rPr>
        <w:t>中仍含有Cas9酶和sgRNA，来自母方的D基因变异为D'基因。</w:t>
      </w:r>
    </w:p>
    <w:p w14:paraId="630C2B2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假设2：F</w:t>
      </w:r>
      <w:r>
        <w:rPr>
          <w:sz w:val="21"/>
          <w:vertAlign w:val="subscript"/>
        </w:rPr>
        <w:t>1</w:t>
      </w:r>
      <w:r>
        <w:rPr>
          <w:sz w:val="21"/>
        </w:rPr>
        <w:t>中D'基因编码的蛋白可干扰正常DF蛋白的功能。</w:t>
      </w:r>
    </w:p>
    <w:p w14:paraId="3C8A3681">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研究者将野生型雌性两个D基因均突变为D</w:t>
      </w:r>
      <w:r>
        <w:rPr>
          <w:sz w:val="21"/>
          <w:vertAlign w:val="superscript"/>
        </w:rPr>
        <w:t>R</w:t>
      </w:r>
      <w:r>
        <w:rPr>
          <w:sz w:val="21"/>
        </w:rPr>
        <w:t>基因，D</w:t>
      </w:r>
      <w:r>
        <w:rPr>
          <w:sz w:val="21"/>
          <w:vertAlign w:val="superscript"/>
        </w:rPr>
        <w:t>R</w:t>
      </w:r>
      <w:r>
        <w:rPr>
          <w:sz w:val="21"/>
        </w:rPr>
        <w:t>基因与D基因DNA序列不同，无法被原sgRNA识别，但仍能产生正常相应蛋白。将该雌蚊记作R，R与B杂交，请分别写出支持两种假设的预期结果</w:t>
      </w:r>
      <w:r>
        <w:rPr>
          <w:rFonts w:ascii="Times New Roman" w:hAnsi="Times New Roman" w:eastAsia="Times New Roman" w:cs="Times New Roman"/>
          <w:b w:val="0"/>
          <w:sz w:val="21"/>
        </w:rPr>
        <w:t>___________</w:t>
      </w:r>
      <w:r>
        <w:rPr>
          <w:sz w:val="21"/>
        </w:rPr>
        <w:t>。</w:t>
      </w:r>
    </w:p>
    <w:p w14:paraId="78AF4E0B">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(4)进一步研究发现，假设一正确。向环境中投放上述雄性品系B，可有效降低按蚊种群密度并在后代中持续发挥作用，请结合上述研究作出解释</w:t>
      </w:r>
      <w:r>
        <w:rPr>
          <w:rFonts w:ascii="Times New Roman" w:hAnsi="Times New Roman" w:eastAsia="Times New Roman" w:cs="Times New Roman"/>
          <w:b w:val="0"/>
          <w:sz w:val="21"/>
        </w:rPr>
        <w:t>___________</w:t>
      </w:r>
      <w:r>
        <w:rPr>
          <w:sz w:val="21"/>
        </w:rPr>
        <w:t>。</w:t>
      </w:r>
    </w:p>
    <w:p w14:paraId="765A46DA">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sectPr>
          <w:footerReference r:id="rId3" w:type="default"/>
          <w:footerReference r:id="rId4" w:type="even"/>
          <w:pgSz w:w="11907" w:h="16839"/>
          <w:pgMar w:top="1440" w:right="1080" w:bottom="1440" w:left="1080" w:header="851" w:footer="425" w:gutter="0"/>
          <w:cols w:space="425" w:num="1" w:sep="1"/>
          <w:docGrid w:type="lines" w:linePitch="312" w:charSpace="0"/>
        </w:sectPr>
      </w:pPr>
    </w:p>
    <w:p w14:paraId="1DAF1FE5">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hint="eastAsia" w:ascii="宋体" w:hAnsi="宋体" w:cs="宋体"/>
          <w:b/>
          <w:color w:val="auto"/>
          <w:sz w:val="22"/>
          <w:szCs w:val="22"/>
          <w:lang w:val="en-US" w:eastAsia="zh-CN"/>
        </w:rPr>
      </w:pPr>
      <w:r>
        <w:rPr>
          <w:rFonts w:hint="eastAsia" w:ascii="宋体" w:hAnsi="宋体" w:cs="宋体"/>
          <w:b/>
          <w:color w:val="auto"/>
          <w:sz w:val="22"/>
          <w:szCs w:val="22"/>
          <w:lang w:val="en-US" w:eastAsia="zh-CN"/>
        </w:rPr>
        <w:t>深圳外国语学校高中部2027届暑假生物综合练习卷（七</w:t>
      </w:r>
      <w:bookmarkStart w:id="0" w:name="_GoBack"/>
      <w:bookmarkEnd w:id="0"/>
      <w:r>
        <w:rPr>
          <w:rFonts w:hint="eastAsia" w:ascii="宋体" w:hAnsi="宋体" w:cs="宋体"/>
          <w:b/>
          <w:color w:val="auto"/>
          <w:sz w:val="22"/>
          <w:szCs w:val="22"/>
          <w:lang w:val="en-US" w:eastAsia="zh-CN"/>
        </w:rPr>
        <w:t>）</w:t>
      </w:r>
    </w:p>
    <w:p w14:paraId="3B461CB1">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hint="eastAsia" w:ascii="宋体" w:hAnsi="宋体" w:cs="宋体"/>
          <w:b/>
          <w:color w:val="auto"/>
          <w:sz w:val="22"/>
          <w:szCs w:val="22"/>
          <w:lang w:val="en-US" w:eastAsia="zh-CN"/>
        </w:rPr>
      </w:pPr>
      <w:r>
        <w:rPr>
          <w:rFonts w:hint="eastAsia" w:ascii="宋体" w:hAnsi="宋体" w:cs="宋体"/>
          <w:b/>
          <w:color w:val="auto"/>
          <w:sz w:val="22"/>
          <w:szCs w:val="22"/>
          <w:lang w:val="en-US" w:eastAsia="zh-CN"/>
        </w:rPr>
        <w:t>【参考答案详解】</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4"/>
        <w:gridCol w:w="774"/>
        <w:gridCol w:w="775"/>
        <w:gridCol w:w="775"/>
        <w:gridCol w:w="775"/>
        <w:gridCol w:w="775"/>
        <w:gridCol w:w="775"/>
        <w:gridCol w:w="775"/>
        <w:gridCol w:w="775"/>
        <w:gridCol w:w="775"/>
        <w:gridCol w:w="775"/>
      </w:tblGrid>
      <w:tr w14:paraId="48C40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6D339118">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759795A3">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w:t>
            </w:r>
          </w:p>
        </w:tc>
        <w:tc>
          <w:tcPr>
            <w:tcW w:w="454" w:type="pct"/>
            <w:tcMar>
              <w:top w:w="0" w:type="dxa"/>
              <w:bottom w:w="0" w:type="dxa"/>
            </w:tcMar>
            <w:vAlign w:val="center"/>
          </w:tcPr>
          <w:p w14:paraId="47C35828">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2</w:t>
            </w:r>
          </w:p>
        </w:tc>
        <w:tc>
          <w:tcPr>
            <w:tcW w:w="454" w:type="pct"/>
            <w:tcMar>
              <w:top w:w="0" w:type="dxa"/>
              <w:bottom w:w="0" w:type="dxa"/>
            </w:tcMar>
            <w:vAlign w:val="center"/>
          </w:tcPr>
          <w:p w14:paraId="236B63D6">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3</w:t>
            </w:r>
          </w:p>
        </w:tc>
        <w:tc>
          <w:tcPr>
            <w:tcW w:w="454" w:type="pct"/>
            <w:tcMar>
              <w:top w:w="0" w:type="dxa"/>
              <w:bottom w:w="0" w:type="dxa"/>
            </w:tcMar>
            <w:vAlign w:val="center"/>
          </w:tcPr>
          <w:p w14:paraId="1504F9F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4</w:t>
            </w:r>
          </w:p>
        </w:tc>
        <w:tc>
          <w:tcPr>
            <w:tcW w:w="454" w:type="pct"/>
            <w:tcMar>
              <w:top w:w="0" w:type="dxa"/>
              <w:bottom w:w="0" w:type="dxa"/>
            </w:tcMar>
            <w:vAlign w:val="center"/>
          </w:tcPr>
          <w:p w14:paraId="379D45A1">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5</w:t>
            </w:r>
          </w:p>
        </w:tc>
        <w:tc>
          <w:tcPr>
            <w:tcW w:w="454" w:type="pct"/>
            <w:tcMar>
              <w:top w:w="0" w:type="dxa"/>
              <w:bottom w:w="0" w:type="dxa"/>
            </w:tcMar>
            <w:vAlign w:val="center"/>
          </w:tcPr>
          <w:p w14:paraId="5E329038">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6</w:t>
            </w:r>
          </w:p>
        </w:tc>
        <w:tc>
          <w:tcPr>
            <w:tcW w:w="454" w:type="pct"/>
            <w:tcMar>
              <w:top w:w="0" w:type="dxa"/>
              <w:bottom w:w="0" w:type="dxa"/>
            </w:tcMar>
            <w:vAlign w:val="center"/>
          </w:tcPr>
          <w:p w14:paraId="17770453">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7</w:t>
            </w:r>
          </w:p>
        </w:tc>
        <w:tc>
          <w:tcPr>
            <w:tcW w:w="454" w:type="pct"/>
            <w:tcMar>
              <w:top w:w="0" w:type="dxa"/>
              <w:bottom w:w="0" w:type="dxa"/>
            </w:tcMar>
            <w:vAlign w:val="center"/>
          </w:tcPr>
          <w:p w14:paraId="32C74C12">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8</w:t>
            </w:r>
          </w:p>
        </w:tc>
        <w:tc>
          <w:tcPr>
            <w:tcW w:w="454" w:type="pct"/>
            <w:tcMar>
              <w:top w:w="0" w:type="dxa"/>
              <w:bottom w:w="0" w:type="dxa"/>
            </w:tcMar>
            <w:vAlign w:val="center"/>
          </w:tcPr>
          <w:p w14:paraId="52EE7895">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9</w:t>
            </w:r>
          </w:p>
        </w:tc>
        <w:tc>
          <w:tcPr>
            <w:tcW w:w="454" w:type="pct"/>
            <w:tcMar>
              <w:top w:w="0" w:type="dxa"/>
              <w:bottom w:w="0" w:type="dxa"/>
            </w:tcMar>
            <w:vAlign w:val="center"/>
          </w:tcPr>
          <w:p w14:paraId="16177F93">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10</w:t>
            </w:r>
          </w:p>
        </w:tc>
      </w:tr>
      <w:tr w14:paraId="07EDB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10CBD2A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2D6CEE78">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589BD8F">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6E0BE09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61E302C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6F71A66E">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6FA4B824">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22E0233F">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07909264">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66684349">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4561B4C8">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r>
      <w:tr w14:paraId="7423D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42A246DA">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5340C3CC">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11</w:t>
            </w:r>
          </w:p>
        </w:tc>
        <w:tc>
          <w:tcPr>
            <w:tcW w:w="454" w:type="pct"/>
            <w:tcMar>
              <w:top w:w="0" w:type="dxa"/>
              <w:bottom w:w="0" w:type="dxa"/>
            </w:tcMar>
            <w:vAlign w:val="center"/>
          </w:tcPr>
          <w:p w14:paraId="649CC8C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12</w:t>
            </w:r>
          </w:p>
        </w:tc>
        <w:tc>
          <w:tcPr>
            <w:tcW w:w="454" w:type="pct"/>
            <w:tcMar>
              <w:top w:w="0" w:type="dxa"/>
              <w:bottom w:w="0" w:type="dxa"/>
            </w:tcMar>
            <w:vAlign w:val="center"/>
          </w:tcPr>
          <w:p w14:paraId="4C572BC1">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13</w:t>
            </w:r>
          </w:p>
        </w:tc>
        <w:tc>
          <w:tcPr>
            <w:tcW w:w="454" w:type="pct"/>
            <w:tcMar>
              <w:top w:w="0" w:type="dxa"/>
              <w:bottom w:w="0" w:type="dxa"/>
            </w:tcMar>
            <w:vAlign w:val="center"/>
          </w:tcPr>
          <w:p w14:paraId="0C7DFE6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14</w:t>
            </w:r>
          </w:p>
        </w:tc>
        <w:tc>
          <w:tcPr>
            <w:tcW w:w="454" w:type="pct"/>
            <w:tcMar>
              <w:top w:w="0" w:type="dxa"/>
              <w:bottom w:w="0" w:type="dxa"/>
            </w:tcMar>
            <w:vAlign w:val="center"/>
          </w:tcPr>
          <w:p w14:paraId="3D825ABC">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15</w:t>
            </w:r>
          </w:p>
        </w:tc>
        <w:tc>
          <w:tcPr>
            <w:tcW w:w="454" w:type="pct"/>
            <w:tcMar>
              <w:top w:w="0" w:type="dxa"/>
              <w:bottom w:w="0" w:type="dxa"/>
            </w:tcMar>
            <w:vAlign w:val="center"/>
          </w:tcPr>
          <w:p w14:paraId="05090FD6">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16</w:t>
            </w:r>
          </w:p>
        </w:tc>
        <w:tc>
          <w:tcPr>
            <w:tcW w:w="454" w:type="pct"/>
            <w:tcMar>
              <w:top w:w="0" w:type="dxa"/>
              <w:bottom w:w="0" w:type="dxa"/>
            </w:tcMar>
            <w:vAlign w:val="center"/>
          </w:tcPr>
          <w:p w14:paraId="3DA89A54">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2C7F6427">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172DECEB">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16839709">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r w14:paraId="50D5E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2062723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11233FB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F21163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12010879">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2A6EE0C7">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0F25D394">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05DBBC28">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hint="eastAsia" w:ascii="宋体" w:hAnsi="宋体" w:eastAsia="宋体" w:cs="宋体"/>
                <w:b w:val="0"/>
                <w:i w:val="0"/>
                <w:color w:val="000000"/>
                <w:sz w:val="21"/>
                <w:lang w:val="en-US" w:eastAsia="zh-CN"/>
              </w:rPr>
            </w:pPr>
            <w:r>
              <w:rPr>
                <w:rFonts w:hint="eastAsia" w:ascii="宋体" w:hAnsi="宋体" w:cs="宋体"/>
                <w:b w:val="0"/>
                <w:i w:val="0"/>
                <w:color w:val="000000"/>
                <w:sz w:val="21"/>
                <w:lang w:val="en-US" w:eastAsia="zh-CN"/>
              </w:rPr>
              <w:t>C</w:t>
            </w:r>
          </w:p>
        </w:tc>
        <w:tc>
          <w:tcPr>
            <w:tcW w:w="454" w:type="pct"/>
            <w:tcMar>
              <w:top w:w="0" w:type="dxa"/>
              <w:bottom w:w="0" w:type="dxa"/>
            </w:tcMar>
            <w:vAlign w:val="center"/>
          </w:tcPr>
          <w:p w14:paraId="0DAD5EC1">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7D05B463">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3724C5ED">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2ED75C67">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bl>
    <w:p w14:paraId="51C828BA">
      <w:pPr>
        <w:keepNext w:val="0"/>
        <w:keepLines w:val="0"/>
        <w:pageBreakBefore w:val="0"/>
        <w:widowControl w:val="0"/>
        <w:kinsoku/>
        <w:wordWrap/>
        <w:overflowPunct/>
        <w:topLinePunct w:val="0"/>
        <w:autoSpaceDE/>
        <w:autoSpaceDN/>
        <w:bidi w:val="0"/>
        <w:adjustRightInd/>
        <w:snapToGrid/>
        <w:spacing w:line="276" w:lineRule="auto"/>
        <w:jc w:val="center"/>
        <w:textAlignment w:val="center"/>
        <w:rPr>
          <w:rFonts w:ascii="宋体" w:hAnsi="宋体" w:eastAsia="宋体" w:cs="宋体"/>
          <w:b/>
          <w:i w:val="0"/>
          <w:color w:val="000000"/>
          <w:sz w:val="21"/>
        </w:rPr>
      </w:pPr>
    </w:p>
    <w:p w14:paraId="0250410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B【详解】A、人类活动往往会使群落演替按照不同于自然演替的速度和方向进行，长江禁渔后生物多样性恢复，说明人类活动可改变群落演替的方向，A正确；B、能量传递效率指相邻两个营养级之间同化量的比值，种群属于营养级的一部分，种群数量增加只代表该种群利用的能量增加，不会增加营养级之间的传递效率，B错误；C、禁渔减少了人类捕捞、对鱼类资源的破坏等环境压力，减小了长江江豚的生存环境阻力，使其环境容纳量（K值）提升，C正确；D、就地保护是指在原地对保护对象所属的生态系统进行保护，禁渔属于在长江原生境采取的就地保护措施，江豚种群数量增加直接体现了该措施的有效性，D正确。</w:t>
      </w:r>
    </w:p>
    <w:p w14:paraId="1DF5175E">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2．B【详解】A、营养成分表中每100克食物的57.0g是总碳水化合物含量，包含小麦粉中的淀粉等成分，添加糖仅为配料中的白砂糖，含量远低于57g，A错误；</w:t>
      </w:r>
    </w:p>
    <w:p w14:paraId="03134C4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B、脂肪水解的产物是甘油和脂肪酸，磷脂的合成需要甘油、脂肪酸作为原料，因此脂肪水解产物可作为人体细胞合成磷脂的原料，B正确；C、人体必需氨基酸仅有8种（婴儿为9种），21种是组成人体蛋白质的氨基酸总数量，且该食物中的蛋白质不一定包含全部必需氨基酸，C错误；D、Na</w:t>
      </w:r>
      <w:r>
        <w:rPr>
          <w:sz w:val="21"/>
          <w:vertAlign w:val="superscript"/>
        </w:rPr>
        <w:t>+</w:t>
      </w:r>
      <w:r>
        <w:rPr>
          <w:sz w:val="21"/>
        </w:rPr>
        <w:t>主要存在于细胞外液，减盐是降低细胞外液的Na</w:t>
      </w:r>
      <w:r>
        <w:rPr>
          <w:sz w:val="21"/>
          <w:vertAlign w:val="superscript"/>
        </w:rPr>
        <w:t>+</w:t>
      </w:r>
      <w:r>
        <w:rPr>
          <w:sz w:val="21"/>
        </w:rPr>
        <w:t>浓度，从而维持细胞正常的形态与功能，并非降低细胞内液Na</w:t>
      </w:r>
      <w:r>
        <w:rPr>
          <w:sz w:val="21"/>
          <w:vertAlign w:val="superscript"/>
        </w:rPr>
        <w:t>+</w:t>
      </w:r>
      <w:r>
        <w:rPr>
          <w:sz w:val="21"/>
        </w:rPr>
        <w:t>浓度，D错误。</w:t>
      </w:r>
    </w:p>
    <w:p w14:paraId="0556B2DF">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D【详解】A、该图核膜完整，染色质呈细丝状，中心体已完成复制，符合动物细胞有丝分裂间期的特征，A正确；B、该图核膜消失，染色体散乱分布，中心体移向细胞两极并发出星射线形成纺锤体，符合有丝分裂前期的特征，B正确；C、该图中所有染色体的着丝粒整齐排列在赤道板位置，纺锤体结构清晰，符合有丝分裂中期的特征，C正确；D、图中是同源染色体分离，属于减数第一次分裂后期，体细胞增殖只进行有丝分裂，不会发生同源染色体分离，D错误。</w:t>
      </w:r>
    </w:p>
    <w:p w14:paraId="532B860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4．D【详解】A、该小组进行渗透作用实验，甲所在一侧装置的漏斗中加入了蔗糖溶液，为实验组，而另一侧即乙所在一侧装置的漏斗中加入的是清水，为对照组，A正确；B、甲漏斗内是蔗糖溶液，浓度高于漏斗外，液面将会上升，乙漏斗内外都是清水，乙漏斗液面将会下降，最后与乙漏斗外面的清水高度齐平，B正确；C、当漏斗内液面高度稳定时，仍然有水分子通过生物膜，水分子进出平衡，C正确；D、甲漏斗中是蔗糖，蔗糖不能通过生物膜，故当渗透平衡时，甲漏斗内溶液浓度高于漏斗外侧，D错误。</w:t>
      </w:r>
    </w:p>
    <w:p w14:paraId="7ED5477E">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5．D【详解】A、发菜属于蓝细菌（原核生物），虽无叶绿体，但含有叶绿素和藻蓝素，能进行光合作用，A错误；B、真核生物和原核生物的遗传物质均为DNA，只有RNA病毒以RNA为遗传物质，B错误；C、念珠蓝细菌是蓝细菌的一种，属于原核生物，且原核生物均为单细胞生物，C错误；D、大肠杆菌（原核生物）和酵母菌（真核生物中的真菌）均具有细胞壁结构，前者成分为肽聚糖，后者为几丁质，D正确。</w:t>
      </w:r>
    </w:p>
    <w:p w14:paraId="70E5593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6．D【详解】A、雌激素属于激素，激素的运输方式是通过体液（主要是血液）进行运输，A正确；B、激素与受体结合具有高度特异性，雌激素仅与特定受体结合引发效应，双酚A因结构相似才能模拟结合，B正确；C、双酚A能模拟雌激素结合雌激素受体，机体会感知到雌激素水平过高，进而通过负反馈调节抑制自身雌激素的分泌，C正确；D、激素（以及类似物）具有微量高效的特点，双酚A作为雌激素类似物，在体内达到很低浓度时就可能产生效应，D错误。</w:t>
      </w:r>
    </w:p>
    <w:p w14:paraId="085A7A5F">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7．C【详解】A、在艾弗里的肺炎链球菌转化实验中，每个实验组特异性地去除了一种物质，从而鉴定出DNA是遗传物质，这种自变量的设置就是运用了“减法原理”，A不符合题意；</w:t>
      </w:r>
    </w:p>
    <w:p w14:paraId="422082AE">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B、达尔文探究植物的向光性实验中，其中一组实验去掉了胚芽鞘的尖端，这种自变量的设置就是运用了“减法原理”，B不符合题意；C、研究分泌蛋白的合成和分泌过程利用</w:t>
      </w:r>
      <w:r>
        <w:rPr>
          <w:sz w:val="21"/>
          <w:vertAlign w:val="superscript"/>
        </w:rPr>
        <w:t>3</w:t>
      </w:r>
      <w:r>
        <w:rPr>
          <w:sz w:val="21"/>
        </w:rPr>
        <w:t>H标记的亮氨酸来追踪氨基酸的路径，运用了同位素标记法，未运用“减法原理”，C符合题意；</w:t>
      </w:r>
    </w:p>
    <w:p w14:paraId="40E8A5AF">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D、探究睾丸分泌雄激素的研究，对照组对睾丸进行手术但不切除，实验组切除睾丸，运用了“减法原理”，D不符合题意。</w:t>
      </w:r>
    </w:p>
    <w:p w14:paraId="6E08DACF">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8．D【详解】细胞内的NAD</w:t>
      </w:r>
      <w:r>
        <w:rPr>
          <w:sz w:val="21"/>
          <w:vertAlign w:val="superscript"/>
        </w:rPr>
        <w:t>+</w:t>
      </w:r>
      <w:r>
        <w:rPr>
          <w:sz w:val="21"/>
        </w:rPr>
        <w:t>和NADH之间可以相互转化，其中细胞呼吸过程中消耗[H]的过程会增大NAD</w:t>
      </w:r>
      <w:r>
        <w:rPr>
          <w:sz w:val="21"/>
          <w:vertAlign w:val="superscript"/>
        </w:rPr>
        <w:t>+</w:t>
      </w:r>
      <w:r>
        <w:rPr>
          <w:sz w:val="21"/>
        </w:rPr>
        <w:t>/NADH的值，合成[H]的过程会降低NAD</w:t>
      </w:r>
      <w:r>
        <w:rPr>
          <w:sz w:val="21"/>
          <w:vertAlign w:val="superscript"/>
        </w:rPr>
        <w:t>+</w:t>
      </w:r>
      <w:r>
        <w:rPr>
          <w:sz w:val="21"/>
        </w:rPr>
        <w:t>/NADH的值，若肿瘤细胞中的NAD</w:t>
      </w:r>
      <w:r>
        <w:rPr>
          <w:sz w:val="21"/>
          <w:vertAlign w:val="superscript"/>
        </w:rPr>
        <w:t>+</w:t>
      </w:r>
      <w:r>
        <w:rPr>
          <w:sz w:val="21"/>
        </w:rPr>
        <w:t>/NADH的值增大，则该过程为消耗[H]的过程，由于该细胞为动物细胞，不会产生酒精，因此可能发生的过程为有氧呼吸的第三阶段，即氧气被还原产生水，D正确。</w:t>
      </w:r>
    </w:p>
    <w:p w14:paraId="2B905B9B">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9．D【详解】A、火山爆发后形成的熔岩区进行的演替属于初生演替，火灾过后的草原演替属于次生演替，二者演替类型不同，A错误；B、熔岩区的演替属于初生演替，经历阶段相对较多，但初生演替趋向于形成新的群落，而非恢复原来的群落，B错误；C、熔岩区的演替过程中，生物种类逐渐增多，营养结构趋于复杂，该区域的抵抗力稳定性越来越高，恢复力稳定性越来越低，C错误；D、负反馈调节在生态系统中普遍存在，是生态系统自我调节能力的基础，在熔岩区群落的演替过程中普遍存在，D正确。</w:t>
      </w:r>
    </w:p>
    <w:p w14:paraId="4FEA878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10．C【详解】AC、可遗传变异为生物进化提供原材料，辣椒素的出现应是突变造成的，辣椒素出现后有助于辣椒抵抗天敌的捕食等，应为一种有利变异，但现在世界各地存在许多辣度不同的辣椒品种，辣椒素合成关键基因的基因频率不可能一直上升，A正确，C错误。</w:t>
      </w:r>
    </w:p>
    <w:p w14:paraId="1A74772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 xml:space="preserve"> B、通过基因序列分析亲缘关系远近属于分子水平上的证据，B正确。 D、茄科植物包含辣椒、毛酸浆、番茄等多个物种，而生殖隔离是新物种形成的标志，D正确。</w:t>
      </w:r>
    </w:p>
    <w:p w14:paraId="7A5C8BC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11．B【详解】B、使用稀释涂布平板法统计活菌数时，若两个或多个活菌聚集在一起，平板上只会形成一个菌落，因此统计得到的菌落数一般比活菌的实际数偏少，B错误；C、不同物种的基因序列具有特异性，依据己酸菌的特异基因序列设计引物进行PCR，可根据是否扩增出目标产物完成对目的菌株的鉴定，C正确；D、筛选获得的己酸菌优良菌种初始数量较少，需先进行扩大培养，获得足够多的菌种后才能用于白酒的规模化生产，D正确。</w:t>
      </w:r>
    </w:p>
    <w:p w14:paraId="6543F3C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12．C【详解】A、由图可知，实验中通过引入广聚萤叶甲和种植野艾蒿来控制三裂叶豚草的生长，这属于生物防治的方法，A正确；B、从图中可以看出，种植野艾蒿后，三裂叶豚草的生物量明显下降，说明三裂叶豚草与野艾蒿存在种间竞争关系，且野艾蒿对三裂叶豚草有抑制作用，B正确；C、虽然广聚萤叶甲可以抑制三裂叶豚草的生长，但从图中可以看出，在引入广聚萤叶甲的第一年，三裂叶豚草的生物量并没有明显下降，说明大量引入广聚萤叶甲并不能对三裂叶豚草的疯长起到立竿见影的效果，C错误；D、三裂叶豚草是外来物种，其疯长会与本地物种竞争资源，使入侵地的生物多样性锐减，群落的物种组成发生改变，从而发生次生演替，D正确。</w:t>
      </w:r>
    </w:p>
    <w:p w14:paraId="3A5D290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13．B【详解】A、生长素的合成原料是色氨酸，不是各种氨基酸，A错误；</w:t>
      </w:r>
      <w:r>
        <w:rPr>
          <w:rFonts w:ascii="Times New Roman" w:hAnsi="Times New Roman" w:eastAsia="Times New Roman" w:cs="Times New Roman"/>
          <w:kern w:val="0"/>
          <w:sz w:val="24"/>
          <w:szCs w:val="24"/>
        </w:rPr>
        <w:t>  </w:t>
      </w:r>
      <w:r>
        <w:rPr>
          <w:sz w:val="21"/>
        </w:rPr>
        <w:t>B、分析题干信息：A侧生长素浓度明显高于B侧，细胞中的DAR1催化TMK1c的形成，可知TMK1c在生长素浓度高时含量高，B正确；</w:t>
      </w:r>
      <w:r>
        <w:rPr>
          <w:rFonts w:ascii="Times New Roman" w:hAnsi="Times New Roman" w:eastAsia="Times New Roman" w:cs="Times New Roman"/>
          <w:kern w:val="0"/>
          <w:sz w:val="24"/>
          <w:szCs w:val="24"/>
        </w:rPr>
        <w:t>  </w:t>
      </w:r>
      <w:r>
        <w:rPr>
          <w:sz w:val="21"/>
        </w:rPr>
        <w:t>C、由题干信息可知，B侧细胞的TMK1c则被降解，细胞中的IAA32/34不会发生磷酸化，C错误；</w:t>
      </w:r>
      <w:r>
        <w:rPr>
          <w:rFonts w:ascii="Times New Roman" w:hAnsi="Times New Roman" w:eastAsia="Times New Roman" w:cs="Times New Roman"/>
          <w:kern w:val="0"/>
          <w:sz w:val="24"/>
          <w:szCs w:val="24"/>
        </w:rPr>
        <w:t>  </w:t>
      </w:r>
      <w:r>
        <w:rPr>
          <w:sz w:val="21"/>
        </w:rPr>
        <w:t>D、由题干信息可知，顶端优势发生时，侧芽细胞的生长素浓度高，ARFs基因表达受抑制，抑制细胞伸长，D错误。</w:t>
      </w:r>
      <w:r>
        <w:rPr>
          <w:rFonts w:ascii="Times New Roman" w:hAnsi="Times New Roman" w:eastAsia="Times New Roman" w:cs="Times New Roman"/>
          <w:kern w:val="0"/>
          <w:sz w:val="24"/>
          <w:szCs w:val="24"/>
        </w:rPr>
        <w:t>  </w:t>
      </w:r>
    </w:p>
    <w:p w14:paraId="66BAB6F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14．C【详解】A、实验先敲除小鼠的Foxp3基因，去除了Foxp3基因的作用，对应实验控制的减法原理；再给乙、丙组添加不同浓度的Treg，对应实验控制的加法原理，A正确；</w:t>
      </w:r>
    </w:p>
    <w:p w14:paraId="2A95FED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B、从柱形图结果可知，随注射的Treg浓度升高（甲&lt;乙&lt;丙），小鼠Foxp3相对含量逐渐升高，IPEX综合征程度逐渐降低，B正确；C、IPEX综合征是自身免疫病，属于免疫功能过强导致的疾病；实验结果显示Foxp3含量越高，病情越轻，说明Foxp3基因表达会抑制过度的免疫反应，维持Treg的免疫抑制功能，C错误；D、本实验仅用IPEX模型小鼠分组，增加正常小鼠注射生理盐水的对照组，可以更直观说明注射Treg对模型鼠的作用效果，增强实验说服力，D正确。</w:t>
      </w:r>
    </w:p>
    <w:p w14:paraId="66BF05B7">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15．A【详解】A、II-2、II-3正常，却生出了患病的孩子，说明该病为隐性遗传病，且II-2不携带该病的致病基因，因而确定致病基因位于X染色体上，与红绿色盲的致病方式相同，均为伴X隐性遗传病，A正确；B、Turner综合征的染色体组成为45，即为XO，属于染色体异常遗传病，可借助显微镜观察确诊，不涉及致病基因，因而不需要通过基因检测确诊，B错误；C、Ⅲ-2患Turner综合征，且该病为XO型，因而推测其患病原因是Ⅱ-4或Ⅱ-5减数分裂I或II异常所致，C错误；D、若Ⅱ-5是WAS的携带者，若用A、a表示相关基因，则其基因型为X</w:t>
      </w:r>
      <w:r>
        <w:rPr>
          <w:sz w:val="21"/>
          <w:vertAlign w:val="superscript"/>
        </w:rPr>
        <w:t>A</w:t>
      </w:r>
      <w:r>
        <w:rPr>
          <w:sz w:val="21"/>
        </w:rPr>
        <w:t>X</w:t>
      </w:r>
      <w:r>
        <w:rPr>
          <w:sz w:val="21"/>
          <w:vertAlign w:val="superscript"/>
        </w:rPr>
        <w:t>a</w:t>
      </w:r>
      <w:r>
        <w:rPr>
          <w:sz w:val="21"/>
        </w:rPr>
        <w:t>，正常男性的基因型为X</w:t>
      </w:r>
      <w:r>
        <w:rPr>
          <w:sz w:val="21"/>
          <w:vertAlign w:val="superscript"/>
        </w:rPr>
        <w:t>A</w:t>
      </w:r>
      <w:r>
        <w:rPr>
          <w:sz w:val="21"/>
        </w:rPr>
        <w:t>Y，则Ⅱ-5与正常男性婚配，再生一个男孩与Ⅲ-1基因型（X</w:t>
      </w:r>
      <w:r>
        <w:rPr>
          <w:sz w:val="21"/>
          <w:vertAlign w:val="superscript"/>
        </w:rPr>
        <w:t>a</w:t>
      </w:r>
      <w:r>
        <w:rPr>
          <w:sz w:val="21"/>
        </w:rPr>
        <w:t>Y）相同的概率为1/2，D错误。</w:t>
      </w:r>
    </w:p>
    <w:p w14:paraId="0BC75B07">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16．C【详解】A、为了获取单个细胞，需要用蛋白酶对组织进行处理，破坏连接细胞的胶原蛋白和黏连蛋白，常用的酶有胰蛋白酶、胶原蛋白酶等。无血清培养液中含有酶抑制剂，能抑制残留消化酶的活性，防止细胞被过度消化损伤，A正确；B、根据克隆形成率与接种细胞密度的关系表可知，当接种细胞密度为10个细胞每毫升时，克隆的形成率就达到了100%，密度过高时克隆形成率会下降，所以为获得较高克隆形成率，接种时宜将细胞悬液稀释为10个细胞/mL或更低密度，B正确；C、原代培养的细胞是体细胞，体细胞进行的是有丝分裂，基因一般是选择性表达，基于功能需求的选择性表达，并非等位基因F和S同时表达，C错误；D、女性细胞中有两条X染色体，其中的一条可能会随机失活，6-磷酸葡萄糖脱氢酶（G-6PD）的编码基因F和S位于X染色体上，可能随着X染色体随机失活而失活，出现原代培养细胞两条带，而克隆培养细胞只要一条带的情况，D正确。</w:t>
      </w:r>
    </w:p>
    <w:p w14:paraId="20080E9E">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17．(1)ATP和NADPH  协助扩散</w:t>
      </w:r>
    </w:p>
    <w:p w14:paraId="1630248E">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(2)非气孔  Rubisco酶活性的下降导致②和③的速率下降，温度升高可能使呼吸速率上升</w:t>
      </w:r>
    </w:p>
    <w:p w14:paraId="0303DFCE">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(3)适量的SM处理番茄植株并在亚高温高光强（HH）下培养。   番茄植株通过合成新的D1蛋白以缓解亚高温高光强对光合作用的抑制</w:t>
      </w:r>
    </w:p>
    <w:p w14:paraId="4B9B60A7">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【分析】1、分析表格：实验的自变量是温度和光照强度，表中数据显示，与对照组相比，亚高温高光强组的净光合速率、气孔导度、Rubisco活性都下降，胞间CO</w:t>
      </w:r>
      <w:r>
        <w:rPr>
          <w:sz w:val="21"/>
          <w:vertAlign w:val="subscript"/>
        </w:rPr>
        <w:t>2</w:t>
      </w:r>
      <w:r>
        <w:rPr>
          <w:sz w:val="21"/>
        </w:rPr>
        <w:t>浓度却上升。</w:t>
      </w:r>
    </w:p>
    <w:p w14:paraId="5418608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2、分析坐标图：实验的自变量是番茄是否用SM处理、培养条件是否为亚高温高光强，因变量是净光合速率，坐标曲线显示的净光合速率为1组＞2组＞3组。</w:t>
      </w:r>
    </w:p>
    <w:p w14:paraId="64F522E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详解】（2）亚高温强光处理后，气孔内二氧化碳浓度升高，所以其净光合速率下降的原因是非气孔因素，再结合表中数据可以判断净光合速率下降的原因是Rubisco酶活性的下降导致②和③（暗反应）的速率下降。（3）利用番茄植株进行的三组实验中，自变量是番茄是否用SM处理、培养条件是否为亚高温高光强，因变量是净光合速率。1组的处理同（2）中的 CK，在常温、适宜光照下培养，为对照组；3组用适量的可抑制D1蛋白合成的SM处理番茄植株并在亚高温高光强（HH）下培养，由此可知2组番茄植株不需要用SM处理并在亚高温高光强（HH）下培养。1组、2组的番茄植株均能正常合成D1蛋白，3组的番茄植株D1蛋白的合成受到抑制。图2显示的实验结果是：2组番茄植株的净光合速率低于1组、高于3组，说明亚高温高光强对净光合速率有抑制效应，而亚高温高光强对番茄植株净光合速率的抑制是因为抑制了D1蛋白的合成，说明通过合成新的D1蛋白可以缓解亚高温高光强对光合作用的抑制。</w:t>
      </w:r>
    </w:p>
    <w:p w14:paraId="6B7E5B1B">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18．(1)水华</w:t>
      </w:r>
      <w:r>
        <w:rPr>
          <w:rFonts w:hint="eastAsia"/>
          <w:sz w:val="21"/>
          <w:lang w:val="en-US" w:eastAsia="zh-CN"/>
        </w:rPr>
        <w:t xml:space="preserve">  </w:t>
      </w:r>
      <w:r>
        <w:rPr>
          <w:sz w:val="21"/>
        </w:rPr>
        <w:t>(2)增加生态浮床下水体溶氧量，增强植物根细胞有氧呼吸，有利于吸收较多的N、P元素（增强微生物的分解作用）  与藻类竞争吸收较多的N和P     遮蔽阳光抑制藻类光合作用   有机污染物经过植物根系微生物的分解作用形成无机物被植物吸收利用</w:t>
      </w:r>
    </w:p>
    <w:p w14:paraId="60CF657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(3)两种植物不论单独种植还是等量混合种植都具有明显的净化效果/植物乙对总磷的去除效果明显高于植物甲和混合种植</w:t>
      </w:r>
      <w:r>
        <w:rPr>
          <w:rFonts w:hint="eastAsia"/>
          <w:sz w:val="21"/>
          <w:lang w:val="en-US" w:eastAsia="zh-CN"/>
        </w:rPr>
        <w:t xml:space="preserve">   </w:t>
      </w:r>
      <w:r>
        <w:rPr>
          <w:sz w:val="21"/>
        </w:rPr>
        <w:t>(4) 直接和间接     协调与平衡</w:t>
      </w:r>
    </w:p>
    <w:p w14:paraId="5FC7E47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详解】（2）图中生态浮床中预留较多孔洞的目的是增加生态浮床下水体溶氧量，增强植物根细胞有氧呼吸，利于吸收较多的N、P元素，增强微生物的分解作用。生态浮床中的植物通过与藻类竞争吸收较多的N和P、遮蔽阳光抑制藻类光合作用等，从而抑制水体蓝藻和绿藻等过度生长。有机污染物经过生态浮床时，会被浮床植物根系的微生物分解，形成无机物，从而被植物利用，实现清除。（3）表格中通过每组与对照组的比较可以得出：两种植物不论单独种植还是等量混合种植都具有明显的净化效果。通过实验组之间的比较可以得出：植物乙对总磷的去除效果明显高于植物甲和混合种植。（4）生态浮床能够净化水质，体现了生物多样性的间接价值（生态价值），美化环境体现了生物多样性的直接价值。协调与平衡原理是生态系统的生物数量不能超过环境承载力（环境容纳量）的限度，水产养殖基地需根据水体面积的大小、环境承载力等确定鱼的种类和放养量，体现了生态工程的协调与平衡原理。</w:t>
      </w:r>
    </w:p>
    <w:p w14:paraId="0916646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19．(1)PCR</w:t>
      </w:r>
      <w:r>
        <w:rPr>
          <w:rFonts w:hint="eastAsia"/>
          <w:sz w:val="21"/>
          <w:lang w:val="en-US" w:eastAsia="zh-CN"/>
        </w:rPr>
        <w:t xml:space="preserve">    </w:t>
      </w:r>
      <w:r>
        <w:rPr>
          <w:sz w:val="21"/>
        </w:rPr>
        <w:t>(2)组成型表达</w:t>
      </w:r>
    </w:p>
    <w:p w14:paraId="25AF416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(3)左侧E基因：照射蓝光后受到正反馈调控，快速表达大量E蛋白，进而激活F基因表达</w:t>
      </w:r>
    </w:p>
    <w:p w14:paraId="01B3D349">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右侧E基因：使细胞中始终含有少量E蛋白，保持接受蓝光信号的能力</w:t>
      </w:r>
    </w:p>
    <w:p w14:paraId="6729D6C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(4) ①C   ②A   ③a    ④b（或①A</w:t>
      </w:r>
      <w:r>
        <w:rPr>
          <w:rFonts w:ascii="Times New Roman" w:hAnsi="Times New Roman" w:eastAsia="Times New Roman" w:cs="Times New Roman"/>
          <w:kern w:val="0"/>
          <w:sz w:val="24"/>
          <w:szCs w:val="24"/>
        </w:rPr>
        <w:t>  </w:t>
      </w:r>
      <w:r>
        <w:rPr>
          <w:sz w:val="21"/>
        </w:rPr>
        <w:t>②C</w:t>
      </w:r>
      <w:r>
        <w:rPr>
          <w:rFonts w:ascii="Times New Roman" w:hAnsi="Times New Roman" w:eastAsia="Times New Roman" w:cs="Times New Roman"/>
          <w:kern w:val="0"/>
          <w:sz w:val="24"/>
          <w:szCs w:val="24"/>
        </w:rPr>
        <w:t>  </w:t>
      </w:r>
      <w:r>
        <w:rPr>
          <w:sz w:val="21"/>
        </w:rPr>
        <w:t>③a</w:t>
      </w:r>
      <w:r>
        <w:rPr>
          <w:rFonts w:ascii="Times New Roman" w:hAnsi="Times New Roman" w:eastAsia="Times New Roman" w:cs="Times New Roman"/>
          <w:kern w:val="0"/>
          <w:sz w:val="24"/>
          <w:szCs w:val="24"/>
        </w:rPr>
        <w:t>  </w:t>
      </w:r>
      <w:r>
        <w:rPr>
          <w:sz w:val="21"/>
        </w:rPr>
        <w:t>④b）</w:t>
      </w:r>
    </w:p>
    <w:p w14:paraId="040DAB5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(5)</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4547"/>
      </w:tblGrid>
      <w:tr w14:paraId="18440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B7B83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第1步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6CA360">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黑暗条件下培养工程菌至种群数量达到最适</w:t>
            </w:r>
          </w:p>
        </w:tc>
      </w:tr>
      <w:tr w14:paraId="79842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355E7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第2步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D53B0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红光照射至人β防御素在培养液中达到适宜浓度</w:t>
            </w:r>
          </w:p>
        </w:tc>
      </w:tr>
      <w:tr w14:paraId="1A141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A2EAE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第3步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2D7AFA">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蓝光照射至工程菌凝集，回收发酵产物</w:t>
            </w:r>
          </w:p>
        </w:tc>
      </w:tr>
      <w:tr w14:paraId="2DF72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0AB1B8">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第4步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025F23">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红光蓝光同时照射，杀死工程菌</w:t>
            </w:r>
          </w:p>
        </w:tc>
      </w:tr>
    </w:tbl>
    <w:p w14:paraId="5295A9B5">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p>
    <w:p w14:paraId="2329FED0">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详解】（2）组成型表达即持续表达，从图1分析，S蛋白与启动子结合，当存在红光时P蛋白与S蛋白结合导致H基因表达，说明P和S蛋白一直存在，是否结合会影响H基因的表达，P和S基因是组成型表达。（3）左侧E基因的启动子是CYC，照射蓝光后受到正反馈调控，快速表达大量E蛋白，进而激活F基因表达；右侧E基因的启动子是ACT，为组成型表达的弱启动子，使细胞中始终含有少量E蛋白，保持接受蓝光信号的能力。（4）从图中分析，蓝光照射时可使CYC启动子后续基因表达，红光照射时可使Jub 启动子后续基因表达，①②位置选择这两种启动子可保证酵母细胞在红光和蓝光同时照射时才激活致死基因N的表达，①②位置这两种启动子位置可颠倒。为了保证酵母细胞在红光和蓝光同时照射时才激活致死基因N的表达，当④位置是L蛋白结合位点、③位置是T基因结合位点时，红光和蓝光同时照射时T基因表达的T蛋白与③位点结合，阻止了L基因的表达，使N基因可以表达而致死。（5）根据题目信息，红光照射使产物增多，蓝光照射使产物凝集，红蓝光同时照射使工程菌死亡，故第一步应在黑暗条件下培养工程菌至种群数量达到最适，第二步红光照射至人β防御素在培养液中达到适宜浓度，第三步蓝光照射至工程菌凝集，回收发酵产物；第四步红光蓝光同时照射，杀死工程菌。</w:t>
      </w:r>
    </w:p>
    <w:p w14:paraId="64F9639F">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20．(1)兴奋   产热与散热(2)环境B   小鼠在常温(21℃)下同样出现了较高的耗氧速率(V</w:t>
      </w:r>
      <w:r>
        <w:rPr>
          <w:sz w:val="21"/>
          <w:vertAlign w:val="subscript"/>
        </w:rPr>
        <w:t>O2</w:t>
      </w:r>
      <w:r>
        <w:rPr>
          <w:sz w:val="21"/>
        </w:rPr>
        <w:t>)</w:t>
      </w:r>
    </w:p>
    <w:p w14:paraId="0A083967">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(3)记忆测试期   显著下降   4℃，环境B   21℃，环境B   21℃，环境A，照射蓝光     代谢率显著升高</w:t>
      </w:r>
    </w:p>
    <w:p w14:paraId="67DEAA8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(4)可在寒冷真正到来前就提前增强产热，使体温更稳定</w:t>
      </w:r>
    </w:p>
    <w:p w14:paraId="298612E7">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【详解】（2）在此实验设计中，环境B是寒冷刺激（4℃环境），故环境B的特殊处理即成为条件刺激。图2显示，小鼠在常温(21℃)条件下同样出现了较高的耗氧速率(V</w:t>
      </w:r>
      <w:r>
        <w:rPr>
          <w:sz w:val="21"/>
          <w:vertAlign w:val="subscript"/>
        </w:rPr>
        <w:t>O2</w:t>
      </w:r>
      <w:r>
        <w:rPr>
          <w:sz w:val="21"/>
        </w:rPr>
        <w:t>)，说明已经建立了“热调节巴甫洛夫条件反射”。（3）①若在记忆测试期抑制海马齿状回(DG)中的“寒冷记忆印迹细胞(CE)”活性，则小鼠无法在21℃时再现原先的寒冷产热反应，代谢率不再升高，说明DG区对寒冷记忆的储存和调用至关重要。②I：4℃，环境B，使F基因启动子得以上调从而标记/表达光敏通道。 II：21℃，环境B，不会诱导寒冷记忆细胞表达光敏通道。III：21℃，环境A，照射蓝光，激活已经表达光敏通道的CE细胞。IV：代谢率显著升高（出现明显的产热反应）。（4）由“寒冷记忆”触发的条件反射性产热，能够在机体尚未真正处于低温刺激时预先启动调节，从而减少体温波动，这比单纯依赖皮肤冷觉感受器的非条件反射性产热更具优势。</w:t>
      </w:r>
    </w:p>
    <w:p w14:paraId="173E6604">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21．(1)翻译  D基因碱基序列相同(不变)，在不同性别中指导合成的蛋白质和最终的性别表型均不同</w:t>
      </w:r>
    </w:p>
    <w:p w14:paraId="7C67960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(2)雌性D基因中有外显子5，而雄性中没有    D'对D是显性，因为F</w:t>
      </w:r>
      <w:r>
        <w:rPr>
          <w:sz w:val="21"/>
          <w:vertAlign w:val="subscript"/>
        </w:rPr>
        <w:t>1</w:t>
      </w:r>
      <w:r>
        <w:rPr>
          <w:sz w:val="21"/>
        </w:rPr>
        <w:t>中雌性基因型为D'D(雌性是杂合子)，表现为不育</w:t>
      </w:r>
    </w:p>
    <w:p w14:paraId="1641DCE2">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(3)后代雌蚊全部可育，假设1正确；后代雌蚊全部不育，假设2正确</w:t>
      </w:r>
    </w:p>
    <w:p w14:paraId="5126A74C">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(4)一方面雌性后代不育，导致种群出生率下降，种群密度降低；另一方面雄性后代仍全部保留基因编辑系统，可多代持续进行编辑</w:t>
      </w:r>
    </w:p>
    <w:p w14:paraId="30B0A2ED">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r>
        <w:rPr>
          <w:sz w:val="21"/>
        </w:rPr>
        <w:t>【详解】（2）①由图1可知，雄性D基因转录加工形成成熟mRNA时，不保留外显子5，因此外显子5缺失不影响DM蛋白。因此原因为雌性D基因中有外显子5，而雄性中没有。②按蚊B（D'D'）与野生雌蚊（DD）杂交，F₁全为D'D，雌性表现出D'控制的不育性状，说明D'的性状在D存在时即可表现，因此D'对D为显性。（3）若假设1正确：不能被原有sgRNA识别，因此F₁中Cas9/sgRNA无法编辑母方的D</w:t>
      </w:r>
      <w:r>
        <w:rPr>
          <w:sz w:val="21"/>
          <w:vertAlign w:val="superscript"/>
        </w:rPr>
        <w:t>R</w:t>
      </w:r>
      <w:r>
        <w:rPr>
          <w:sz w:val="21"/>
        </w:rPr>
        <w:t>，D</w:t>
      </w:r>
      <w:r>
        <w:rPr>
          <w:sz w:val="21"/>
          <w:vertAlign w:val="superscript"/>
        </w:rPr>
        <w:t>R</w:t>
      </w:r>
      <w:r>
        <w:rPr>
          <w:sz w:val="21"/>
        </w:rPr>
        <w:t>可合成正常DF蛋白，因此所有雌性可育。若假设2正确：D'编码的蛋白可直接干扰正常DF蛋白功能，即使D</w:t>
      </w:r>
      <w:r>
        <w:rPr>
          <w:sz w:val="21"/>
          <w:vertAlign w:val="superscript"/>
        </w:rPr>
        <w:t>R</w:t>
      </w:r>
      <w:r>
        <w:rPr>
          <w:sz w:val="21"/>
        </w:rPr>
        <w:t>功能正常，仍会被干扰，因此F₁雌性全部不育。（4）投放的雄性B与野生雌蚊交配后，F₁中野生型母本的D基因会被CRISPR系统编辑为D'，导致F₁雌蚊全部不育，种群出生率下降，种群密度降低；Y染色体上的CRISPR/Cas9系统会随雄性遗传给后代，持续使后代雌蚊不育，因此可以持续发挥作用降低种群密度。</w:t>
      </w:r>
    </w:p>
    <w:p w14:paraId="55C1BD96">
      <w:pPr>
        <w:keepNext w:val="0"/>
        <w:keepLines w:val="0"/>
        <w:pageBreakBefore w:val="0"/>
        <w:widowControl w:val="0"/>
        <w:shd w:val="clear" w:color="auto" w:fill="auto"/>
        <w:kinsoku/>
        <w:wordWrap/>
        <w:overflowPunct/>
        <w:topLinePunct w:val="0"/>
        <w:autoSpaceDE/>
        <w:autoSpaceDN/>
        <w:bidi w:val="0"/>
        <w:adjustRightInd/>
        <w:snapToGrid/>
        <w:spacing w:line="276" w:lineRule="auto"/>
        <w:jc w:val="left"/>
        <w:textAlignment w:val="center"/>
        <w:rPr>
          <w:sz w:val="21"/>
        </w:rPr>
      </w:pPr>
    </w:p>
    <w:sectPr>
      <w:headerReference r:id="rId5" w:type="default"/>
      <w:footerReference r:id="rId7" w:type="default"/>
      <w:headerReference r:id="rId6" w:type="even"/>
      <w:footerReference r:id="rId8"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0B02A6">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6AA81B">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9384B2">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2CC8E">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5FD2E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DC63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7EC72A"/>
    <w:multiLevelType w:val="singleLevel"/>
    <w:tmpl w:val="227EC72A"/>
    <w:lvl w:ilvl="0" w:tentative="0">
      <w:start w:val="14"/>
      <w:numFmt w:val="decimal"/>
      <w:suff w:val="nothing"/>
      <w:lvlText w:val="%1．"/>
      <w:lvlJc w:val="left"/>
    </w:lvl>
  </w:abstractNum>
  <w:abstractNum w:abstractNumId="1">
    <w:nsid w:val="7AD66EAD"/>
    <w:multiLevelType w:val="singleLevel"/>
    <w:tmpl w:val="7AD66EAD"/>
    <w:lvl w:ilvl="0" w:tentative="0">
      <w:start w:val="4"/>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0733027A"/>
    <w:rsid w:val="21D75383"/>
    <w:rsid w:val="33926377"/>
    <w:rsid w:val="40DD073B"/>
    <w:rsid w:val="5DDE7376"/>
    <w:rsid w:val="621B6DEA"/>
    <w:rsid w:val="6CB73B9C"/>
    <w:rsid w:val="76E70B03"/>
    <w:rsid w:val="7C405469"/>
    <w:rsid w:val="7E423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er" Target="foot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wmf"/><Relationship Id="rId21" Type="http://schemas.openxmlformats.org/officeDocument/2006/relationships/oleObject" Target="embeddings/oleObject1.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16</Pages>
  <Words>12663</Words>
  <Characters>13810</Characters>
  <Lines>0</Lines>
  <Paragraphs>0</Paragraphs>
  <TotalTime>14</TotalTime>
  <ScaleCrop>false</ScaleCrop>
  <LinksUpToDate>false</LinksUpToDate>
  <CharactersWithSpaces>14049</CharactersWithSpaces>
  <Application>WPS Office_12.1.0.24031_F1E327BC-269C-435d-A152-05C5408002CA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张近春</cp:lastModifiedBy>
  <dcterms:modified xsi:type="dcterms:W3CDTF">2026-06-25T02:07:40Z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{{"ContentPropagator":"XKW","Label":"2","ContentProducer":"XKW"}}</vt:lpwstr>
  </property>
  <property fmtid="{D5CDD505-2E9C-101B-9397-08002B2CF9AE}" pid="3" name="preprocessed">
    <vt:lpwstr>1</vt:lpwstr>
  </property>
  <property fmtid="{D5CDD505-2E9C-101B-9397-08002B2CF9AE}" pid="4" name="version">
    <vt:lpwstr>ea924ed5e44845548184c5f497b8ab0emzgymzq3ndgxnw</vt:lpwstr>
  </property>
  <property fmtid="{D5CDD505-2E9C-101B-9397-08002B2CF9AE}" pid="5" name="KSOTemplateDocerSaveRecord">
    <vt:lpwstr>eyJoZGlkIjoiNjg2MmJhOTQzYmYxZWY4MWRkMWU4MGY4NDQyZDdiOTkiLCJ1c2VySWQiOiIxNTY5MDQ1MzY3In0=</vt:lpwstr>
  </property>
  <property fmtid="{D5CDD505-2E9C-101B-9397-08002B2CF9AE}" pid="6" name="KSOProductBuildVer">
    <vt:lpwstr>2052-12.1.0.24031</vt:lpwstr>
  </property>
  <property fmtid="{D5CDD505-2E9C-101B-9397-08002B2CF9AE}" pid="7" name="ICV">
    <vt:lpwstr>8F9716FEAFE74556A2CC71F897E8F5D0_13</vt:lpwstr>
  </property>
</Properties>
</file>