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F490C">
      <w:pPr>
        <w:keepNext w:val="0"/>
        <w:keepLines w:val="0"/>
        <w:pageBreakBefore w:val="0"/>
        <w:kinsoku/>
        <w:overflowPunct/>
        <w:topLinePunct w:val="0"/>
        <w:autoSpaceDE/>
        <w:autoSpaceDN/>
        <w:bidi w:val="0"/>
        <w:spacing w:line="504" w:lineRule="auto"/>
        <w:rPr>
          <w:rFonts w:hint="eastAsia" w:ascii="宋体" w:hAnsi="宋体" w:eastAsia="宋体" w:cs="宋体"/>
          <w:sz w:val="21"/>
          <w:szCs w:val="21"/>
        </w:rPr>
      </w:pPr>
      <w:r>
        <w:rPr>
          <w:rFonts w:hint="eastAsia" w:ascii="宋体" w:hAnsi="宋体" w:eastAsia="宋体" w:cs="宋体"/>
          <w:sz w:val="21"/>
          <w:szCs w:val="21"/>
        </w:rPr>
        <w:t>1.《锦瑟》中以锦瑟起兴，因其对往事的追忆的句子是：“</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C82475F">
      <w:pPr>
        <w:keepNext w:val="0"/>
        <w:keepLines w:val="0"/>
        <w:pageBreakBefore w:val="0"/>
        <w:kinsoku/>
        <w:overflowPunct/>
        <w:topLinePunct w:val="0"/>
        <w:autoSpaceDE/>
        <w:autoSpaceDN/>
        <w:bidi w:val="0"/>
        <w:spacing w:line="504" w:lineRule="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3498E19">
      <w:pPr>
        <w:keepNext w:val="0"/>
        <w:keepLines w:val="0"/>
        <w:pageBreakBefore w:val="0"/>
        <w:kinsoku/>
        <w:overflowPunct/>
        <w:topLinePunct w:val="0"/>
        <w:autoSpaceDE/>
        <w:autoSpaceDN/>
        <w:bidi w:val="0"/>
        <w:spacing w:line="504" w:lineRule="auto"/>
        <w:rPr>
          <w:rFonts w:hint="eastAsia" w:ascii="宋体" w:hAnsi="宋体" w:eastAsia="宋体" w:cs="宋体"/>
          <w:sz w:val="21"/>
          <w:szCs w:val="21"/>
        </w:rPr>
      </w:pPr>
      <w:r>
        <w:rPr>
          <w:rFonts w:hint="eastAsia" w:ascii="宋体" w:hAnsi="宋体" w:eastAsia="宋体" w:cs="宋体"/>
          <w:sz w:val="21"/>
          <w:szCs w:val="21"/>
        </w:rPr>
        <w:t>2.李商隐在《锦瑟》一诗中回环曲折地表达自己无限怅惘的句子是：“</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7FF6805">
      <w:pPr>
        <w:keepNext w:val="0"/>
        <w:keepLines w:val="0"/>
        <w:pageBreakBefore w:val="0"/>
        <w:kinsoku/>
        <w:overflowPunct/>
        <w:topLinePunct w:val="0"/>
        <w:autoSpaceDE/>
        <w:autoSpaceDN/>
        <w:bidi w:val="0"/>
        <w:spacing w:line="504" w:lineRule="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35C860E">
      <w:pPr>
        <w:keepNext w:val="0"/>
        <w:keepLines w:val="0"/>
        <w:pageBreakBefore w:val="0"/>
        <w:kinsoku/>
        <w:overflowPunct/>
        <w:topLinePunct w:val="0"/>
        <w:autoSpaceDE/>
        <w:autoSpaceDN/>
        <w:bidi w:val="0"/>
        <w:spacing w:line="504" w:lineRule="auto"/>
        <w:rPr>
          <w:rFonts w:hint="eastAsia" w:ascii="宋体" w:hAnsi="宋体" w:eastAsia="宋体" w:cs="宋体"/>
          <w:b w:val="0"/>
          <w:bCs w:val="0"/>
          <w:i w:val="0"/>
          <w:iCs w:val="0"/>
          <w:caps w:val="0"/>
          <w:color w:val="333333"/>
          <w:spacing w:val="8"/>
          <w:sz w:val="21"/>
          <w:szCs w:val="21"/>
        </w:rPr>
      </w:pPr>
      <w:r>
        <w:rPr>
          <w:rFonts w:hint="eastAsia" w:ascii="宋体" w:hAnsi="宋体" w:eastAsia="宋体" w:cs="宋体"/>
          <w:sz w:val="21"/>
          <w:szCs w:val="21"/>
        </w:rPr>
        <w:t>3.</w:t>
      </w:r>
      <w:r>
        <w:rPr>
          <w:rFonts w:hint="eastAsia" w:ascii="宋体" w:hAnsi="宋体" w:eastAsia="宋体" w:cs="宋体"/>
          <w:b w:val="0"/>
          <w:bCs w:val="0"/>
          <w:i w:val="0"/>
          <w:iCs w:val="0"/>
          <w:caps w:val="0"/>
          <w:color w:val="333333"/>
          <w:spacing w:val="8"/>
          <w:sz w:val="21"/>
          <w:szCs w:val="21"/>
          <w:shd w:val="clear" w:fill="FFFFFF"/>
        </w:rPr>
        <w:t>李商隐《锦瑟》中“</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b w:val="0"/>
          <w:bCs w:val="0"/>
          <w:i w:val="0"/>
          <w:iCs w:val="0"/>
          <w:caps w:val="0"/>
          <w:color w:val="333333"/>
          <w:spacing w:val="8"/>
          <w:sz w:val="21"/>
          <w:szCs w:val="21"/>
          <w:shd w:val="clear" w:fill="FFFFFF"/>
        </w:rPr>
        <w:t>”两句抒写美好事物可望而不可即，并营造了一种凄婉迷离的意境。</w:t>
      </w:r>
    </w:p>
    <w:p w14:paraId="1402F0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4" w:lineRule="auto"/>
        <w:ind w:right="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b w:val="0"/>
          <w:bCs w:val="0"/>
          <w:i w:val="0"/>
          <w:iCs w:val="0"/>
          <w:caps w:val="0"/>
          <w:color w:val="333333"/>
          <w:spacing w:val="8"/>
          <w:sz w:val="21"/>
          <w:szCs w:val="21"/>
          <w:shd w:val="clear" w:fill="FFFFFF"/>
        </w:rPr>
        <w:t>李商隐《锦瑟》中的“</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b w:val="0"/>
          <w:bCs w:val="0"/>
          <w:i w:val="0"/>
          <w:iCs w:val="0"/>
          <w:caps w:val="0"/>
          <w:color w:val="333333"/>
          <w:spacing w:val="8"/>
          <w:sz w:val="21"/>
          <w:szCs w:val="21"/>
          <w:shd w:val="clear" w:fill="FFFFFF"/>
        </w:rPr>
        <w:t>”两句，用阴阳冷暖的不同境界展现了高洁的感情、执着的爱慕和无尽的哀思。</w:t>
      </w:r>
    </w:p>
    <w:p w14:paraId="09058B7F">
      <w:pPr>
        <w:keepNext w:val="0"/>
        <w:keepLines w:val="0"/>
        <w:pageBreakBefore w:val="0"/>
        <w:kinsoku/>
        <w:wordWrap w:val="0"/>
        <w:overflowPunct/>
        <w:topLinePunct w:val="0"/>
        <w:autoSpaceDE/>
        <w:autoSpaceDN/>
        <w:bidi w:val="0"/>
        <w:spacing w:line="504"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.《锦瑟》中“</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”运用典故，描绘了美好的情境、虚渺的梦境，把人生的恍惚以及苦苦追寻的执着表现出来。</w:t>
      </w:r>
    </w:p>
    <w:p w14:paraId="3A03E58D">
      <w:pPr>
        <w:keepNext w:val="0"/>
        <w:keepLines w:val="0"/>
        <w:pageBreakBefore w:val="0"/>
        <w:widowControl w:val="0"/>
        <w:kinsoku/>
        <w:wordWrap/>
        <w:overflowPunct/>
        <w:topLinePunct w:val="0"/>
        <w:autoSpaceDE/>
        <w:autoSpaceDN/>
        <w:bidi w:val="0"/>
        <w:adjustRightInd/>
        <w:snapToGrid/>
        <w:spacing w:line="504" w:lineRule="auto"/>
        <w:textAlignment w:val="auto"/>
        <w:rPr>
          <w:rFonts w:ascii="宋体" w:hAnsi="宋体" w:eastAsia="宋体"/>
          <w:sz w:val="21"/>
          <w:szCs w:val="21"/>
        </w:rPr>
      </w:pPr>
      <w:r>
        <w:rPr>
          <w:rFonts w:hint="eastAsia" w:ascii="宋体" w:hAnsi="宋体" w:eastAsia="宋体"/>
          <w:sz w:val="21"/>
          <w:szCs w:val="21"/>
          <w:lang w:val="en-US" w:eastAsia="zh-CN"/>
        </w:rPr>
        <w:t>6.</w:t>
      </w:r>
      <w:r>
        <w:rPr>
          <w:rFonts w:ascii="宋体" w:hAnsi="宋体" w:eastAsia="宋体"/>
          <w:sz w:val="21"/>
          <w:szCs w:val="21"/>
        </w:rPr>
        <w:t>[2022</w:t>
      </w:r>
      <w:r>
        <w:rPr>
          <w:rFonts w:hint="eastAsia" w:ascii="宋体" w:hAnsi="宋体" w:eastAsia="宋体"/>
          <w:sz w:val="21"/>
          <w:szCs w:val="21"/>
        </w:rPr>
        <w:t>·全国乙卷</w:t>
      </w:r>
      <w:r>
        <w:rPr>
          <w:rFonts w:ascii="宋体" w:hAnsi="宋体" w:eastAsia="宋体"/>
          <w:sz w:val="21"/>
          <w:szCs w:val="21"/>
        </w:rPr>
        <w:t>]</w:t>
      </w:r>
      <w:r>
        <w:rPr>
          <w:rFonts w:hint="eastAsia" w:ascii="宋体" w:hAnsi="宋体" w:eastAsia="宋体"/>
          <w:sz w:val="21"/>
          <w:szCs w:val="21"/>
        </w:rPr>
        <w:t xml:space="preserve"> 李商隐《锦瑟》“</w:t>
      </w:r>
      <w:r>
        <w:rPr>
          <w:rFonts w:ascii="宋体" w:hAnsi="宋体" w:eastAsia="宋体"/>
          <w:sz w:val="21"/>
          <w:szCs w:val="21"/>
          <w:u w:val="single" w:color="000000"/>
        </w:rPr>
        <w:t>　　　　　</w:t>
      </w:r>
      <w:r>
        <w:rPr>
          <w:rFonts w:hint="eastAsia" w:ascii="宋体" w:hAnsi="宋体" w:eastAsia="宋体"/>
          <w:sz w:val="21"/>
          <w:szCs w:val="21"/>
          <w:u w:val="single" w:color="000000"/>
          <w:lang w:val="en-US" w:eastAsia="zh-CN"/>
        </w:rPr>
        <w:t xml:space="preserve">         </w:t>
      </w:r>
      <w:r>
        <w:rPr>
          <w:rFonts w:ascii="宋体" w:hAnsi="宋体" w:eastAsia="宋体"/>
          <w:sz w:val="21"/>
          <w:szCs w:val="21"/>
          <w:u w:val="single" w:color="000000"/>
        </w:rPr>
        <w:t>　　</w:t>
      </w:r>
      <w:r>
        <w:rPr>
          <w:rFonts w:ascii="宋体" w:hAnsi="宋体" w:eastAsia="宋体"/>
          <w:sz w:val="21"/>
          <w:szCs w:val="21"/>
        </w:rPr>
        <w:t>,</w:t>
      </w:r>
      <w:r>
        <w:rPr>
          <w:rFonts w:ascii="宋体" w:hAnsi="宋体" w:eastAsia="宋体"/>
          <w:sz w:val="21"/>
          <w:szCs w:val="21"/>
          <w:u w:val="single" w:color="000000"/>
        </w:rPr>
        <w:t>　　　　　</w:t>
      </w:r>
      <w:r>
        <w:rPr>
          <w:rFonts w:hint="eastAsia" w:ascii="宋体" w:hAnsi="宋体" w:eastAsia="宋体"/>
          <w:sz w:val="21"/>
          <w:szCs w:val="21"/>
          <w:u w:val="single" w:color="000000"/>
          <w:lang w:val="en-US" w:eastAsia="zh-CN"/>
        </w:rPr>
        <w:t xml:space="preserve">   </w:t>
      </w:r>
      <w:r>
        <w:rPr>
          <w:rFonts w:ascii="宋体" w:hAnsi="宋体" w:eastAsia="宋体"/>
          <w:sz w:val="21"/>
          <w:szCs w:val="21"/>
          <w:u w:val="single" w:color="000000"/>
        </w:rPr>
        <w:t>　　　　</w:t>
      </w:r>
      <w:r>
        <w:rPr>
          <w:rFonts w:hint="eastAsia" w:ascii="宋体" w:hAnsi="宋体" w:eastAsia="宋体"/>
          <w:sz w:val="21"/>
          <w:szCs w:val="21"/>
        </w:rPr>
        <w:t>”两句中的数目字</w:t>
      </w:r>
      <w:r>
        <w:rPr>
          <w:rFonts w:ascii="宋体" w:hAnsi="宋体" w:eastAsia="宋体"/>
          <w:sz w:val="21"/>
          <w:szCs w:val="21"/>
        </w:rPr>
        <w:t>,</w:t>
      </w:r>
      <w:r>
        <w:rPr>
          <w:rFonts w:hint="eastAsia" w:ascii="宋体" w:hAnsi="宋体" w:eastAsia="宋体"/>
          <w:sz w:val="21"/>
          <w:szCs w:val="21"/>
        </w:rPr>
        <w:t>引发了后世读者的多种解读。 </w:t>
      </w:r>
    </w:p>
    <w:p w14:paraId="37CBEB21">
      <w:pPr>
        <w:keepNext w:val="0"/>
        <w:keepLines w:val="0"/>
        <w:pageBreakBefore w:val="0"/>
        <w:kinsoku/>
        <w:overflowPunct/>
        <w:topLinePunct w:val="0"/>
        <w:autoSpaceDE/>
        <w:autoSpaceDN/>
        <w:bidi w:val="0"/>
        <w:adjustRightInd w:val="0"/>
        <w:snapToGrid w:val="0"/>
        <w:spacing w:line="504" w:lineRule="auto"/>
        <w:jc w:val="left"/>
        <w:textAlignment w:val="center"/>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.追忆往事，是陆游诗歌中常有的内容，如《书愤》一诗中“</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C58DD32">
      <w:pPr>
        <w:keepNext w:val="0"/>
        <w:keepLines w:val="0"/>
        <w:pageBreakBefore w:val="0"/>
        <w:kinsoku/>
        <w:overflowPunct/>
        <w:topLinePunct w:val="0"/>
        <w:autoSpaceDE/>
        <w:autoSpaceDN/>
        <w:bidi w:val="0"/>
        <w:adjustRightInd w:val="0"/>
        <w:snapToGrid w:val="0"/>
        <w:spacing w:line="504" w:lineRule="auto"/>
        <w:jc w:val="left"/>
        <w:textAlignment w:val="center"/>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r>
        <w:rPr>
          <w:rFonts w:hint="eastAsia" w:ascii="宋体" w:hAnsi="宋体" w:eastAsia="宋体" w:cs="宋体"/>
          <w:sz w:val="21"/>
          <w:szCs w:val="21"/>
        </w:rPr>
        <w:t>”一联，就是对抗金历史的回忆。</w:t>
      </w:r>
    </w:p>
    <w:p w14:paraId="7AF1AC86">
      <w:pPr>
        <w:keepNext w:val="0"/>
        <w:keepLines w:val="0"/>
        <w:pageBreakBefore w:val="0"/>
        <w:kinsoku/>
        <w:overflowPunct/>
        <w:topLinePunct w:val="0"/>
        <w:autoSpaceDE/>
        <w:autoSpaceDN/>
        <w:bidi w:val="0"/>
        <w:spacing w:line="504" w:lineRule="auto"/>
        <w:jc w:val="left"/>
        <w:rPr>
          <w:rFonts w:hint="eastAsia" w:ascii="宋体" w:hAnsi="宋体" w:eastAsia="宋体" w:cs="宋体"/>
          <w:sz w:val="21"/>
          <w:szCs w:val="21"/>
        </w:rPr>
      </w:pPr>
      <w:r>
        <w:rPr>
          <w:rFonts w:hint="eastAsia" w:ascii="宋体" w:hAnsi="宋体" w:cs="宋体"/>
          <w:sz w:val="21"/>
          <w:szCs w:val="21"/>
          <w:lang w:val="en-US" w:eastAsia="zh-CN"/>
        </w:rPr>
        <w:t>8</w:t>
      </w:r>
      <w:r>
        <w:rPr>
          <w:rFonts w:hint="eastAsia" w:ascii="宋体" w:hAnsi="宋体" w:eastAsia="宋体" w:cs="宋体"/>
          <w:sz w:val="21"/>
          <w:szCs w:val="21"/>
        </w:rPr>
        <w:t>.陆游《书愤》中采用蒙太奇手法构成一幅幅浩浩荡荡的军容画面的诗句是：“</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E2C3687">
      <w:pPr>
        <w:keepNext w:val="0"/>
        <w:keepLines w:val="0"/>
        <w:pageBreakBefore w:val="0"/>
        <w:kinsoku/>
        <w:overflowPunct/>
        <w:topLinePunct w:val="0"/>
        <w:autoSpaceDE/>
        <w:autoSpaceDN/>
        <w:bidi w:val="0"/>
        <w:spacing w:line="504" w:lineRule="auto"/>
        <w:jc w:val="left"/>
        <w:rPr>
          <w:rFonts w:hint="eastAsia" w:ascii="宋体" w:hAnsi="宋体" w:eastAsia="宋体" w:cs="宋体"/>
          <w:sz w:val="21"/>
          <w:szCs w:val="21"/>
        </w:rPr>
      </w:pPr>
      <w:r>
        <w:rPr>
          <w:rFonts w:hint="eastAsia" w:ascii="宋体" w:hAnsi="宋体" w:cs="宋体"/>
          <w:sz w:val="21"/>
          <w:szCs w:val="21"/>
          <w:lang w:val="en-US" w:eastAsia="zh-CN"/>
        </w:rPr>
        <w:t>9</w:t>
      </w:r>
      <w:r>
        <w:rPr>
          <w:rFonts w:hint="eastAsia" w:ascii="宋体" w:hAnsi="宋体" w:eastAsia="宋体" w:cs="宋体"/>
          <w:sz w:val="21"/>
          <w:szCs w:val="21"/>
        </w:rPr>
        <w:t>.《书愤》中的“</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”两句，作者感叹世事艰难，追述了年轻时收复失地的雄心壮志。</w:t>
      </w:r>
    </w:p>
    <w:p w14:paraId="72E2AD83">
      <w:pPr>
        <w:keepNext w:val="0"/>
        <w:keepLines w:val="0"/>
        <w:pageBreakBefore w:val="0"/>
        <w:widowControl w:val="0"/>
        <w:kinsoku/>
        <w:wordWrap/>
        <w:overflowPunct/>
        <w:topLinePunct w:val="0"/>
        <w:autoSpaceDE/>
        <w:autoSpaceDN/>
        <w:bidi w:val="0"/>
        <w:adjustRightInd/>
        <w:snapToGrid/>
        <w:spacing w:line="504" w:lineRule="auto"/>
        <w:textAlignment w:val="auto"/>
        <w:rPr>
          <w:rFonts w:hint="eastAsia" w:ascii="宋体" w:hAnsi="宋体" w:eastAsia="宋体" w:cs="宋体"/>
          <w:b w:val="0"/>
          <w:bCs w:val="0"/>
          <w:sz w:val="21"/>
          <w:szCs w:val="21"/>
        </w:rPr>
      </w:pPr>
      <w:r>
        <w:rPr>
          <w:rFonts w:hint="eastAsia" w:ascii="宋体" w:hAnsi="宋体" w:cs="宋体"/>
          <w:sz w:val="21"/>
          <w:szCs w:val="21"/>
          <w:lang w:val="en-US" w:eastAsia="zh-CN"/>
        </w:rPr>
        <w:t>10</w:t>
      </w:r>
      <w:r>
        <w:rPr>
          <w:rFonts w:hint="eastAsia" w:ascii="宋体" w:hAnsi="宋体" w:eastAsia="宋体" w:cs="宋体"/>
          <w:sz w:val="21"/>
          <w:szCs w:val="21"/>
        </w:rPr>
        <w:t>.</w:t>
      </w:r>
      <w:r>
        <w:rPr>
          <w:rFonts w:hint="eastAsia" w:ascii="宋体" w:hAnsi="宋体" w:eastAsia="宋体" w:cs="宋体"/>
          <w:b w:val="0"/>
          <w:bCs w:val="0"/>
          <w:sz w:val="21"/>
          <w:szCs w:val="21"/>
        </w:rPr>
        <w:t>[2023·新课标全国Ⅰ卷] 小刚临摹了一幅诸葛亮的画像,想在上面题两句诗,却一直没想好。汪老师认为不妨直接用古人成句,比如“</w:t>
      </w:r>
      <w:r>
        <w:rPr>
          <w:rFonts w:hint="eastAsia" w:ascii="宋体" w:hAnsi="宋体" w:eastAsia="宋体" w:cs="宋体"/>
          <w:b w:val="0"/>
          <w:bCs w:val="0"/>
          <w:sz w:val="21"/>
          <w:szCs w:val="21"/>
          <w:u w:val="single" w:color="000000"/>
        </w:rPr>
        <w:t>　　　　　　</w:t>
      </w:r>
      <w:r>
        <w:rPr>
          <w:rFonts w:hint="eastAsia" w:ascii="宋体" w:hAnsi="宋体" w:cs="宋体"/>
          <w:b w:val="0"/>
          <w:bCs w:val="0"/>
          <w:sz w:val="21"/>
          <w:szCs w:val="21"/>
          <w:u w:val="single" w:color="000000"/>
          <w:lang w:val="en-US" w:eastAsia="zh-CN"/>
        </w:rPr>
        <w:t xml:space="preserve">              </w:t>
      </w:r>
      <w:r>
        <w:rPr>
          <w:rFonts w:hint="eastAsia" w:ascii="宋体" w:hAnsi="宋体" w:eastAsia="宋体" w:cs="宋体"/>
          <w:b w:val="0"/>
          <w:bCs w:val="0"/>
          <w:sz w:val="21"/>
          <w:szCs w:val="21"/>
          <w:u w:val="single" w:color="000000"/>
        </w:rPr>
        <w:t>　　　　　</w:t>
      </w:r>
      <w:r>
        <w:rPr>
          <w:rFonts w:hint="eastAsia" w:ascii="宋体" w:hAnsi="宋体" w:eastAsia="宋体" w:cs="宋体"/>
          <w:b w:val="0"/>
          <w:bCs w:val="0"/>
          <w:sz w:val="21"/>
          <w:szCs w:val="21"/>
        </w:rPr>
        <w:t>,</w:t>
      </w:r>
    </w:p>
    <w:p w14:paraId="43F65ECF">
      <w:pPr>
        <w:keepNext w:val="0"/>
        <w:keepLines w:val="0"/>
        <w:pageBreakBefore w:val="0"/>
        <w:widowControl w:val="0"/>
        <w:kinsoku/>
        <w:wordWrap/>
        <w:overflowPunct/>
        <w:topLinePunct w:val="0"/>
        <w:autoSpaceDE/>
        <w:autoSpaceDN/>
        <w:bidi w:val="0"/>
        <w:adjustRightInd/>
        <w:snapToGrid/>
        <w:spacing w:line="504" w:lineRule="auto"/>
        <w:textAlignment w:val="auto"/>
        <w:rPr>
          <w:rFonts w:hint="eastAsia" w:ascii="宋体" w:hAnsi="宋体" w:eastAsia="宋体" w:cs="宋体"/>
          <w:sz w:val="21"/>
          <w:szCs w:val="21"/>
          <w:lang w:eastAsia="zh-CN"/>
        </w:rPr>
      </w:pPr>
      <w:r>
        <w:rPr>
          <w:rFonts w:hint="eastAsia" w:ascii="宋体" w:hAnsi="宋体" w:eastAsia="宋体" w:cs="宋体"/>
          <w:b w:val="0"/>
          <w:bCs w:val="0"/>
          <w:sz w:val="21"/>
          <w:szCs w:val="21"/>
          <w:u w:val="single" w:color="000000"/>
        </w:rPr>
        <w:t>　　　　　　　</w:t>
      </w:r>
      <w:r>
        <w:rPr>
          <w:rFonts w:hint="eastAsia" w:ascii="宋体" w:hAnsi="宋体" w:cs="宋体"/>
          <w:b w:val="0"/>
          <w:bCs w:val="0"/>
          <w:sz w:val="21"/>
          <w:szCs w:val="21"/>
          <w:u w:val="single" w:color="000000"/>
          <w:lang w:val="en-US" w:eastAsia="zh-CN"/>
        </w:rPr>
        <w:t xml:space="preserve">     </w:t>
      </w:r>
      <w:r>
        <w:rPr>
          <w:rFonts w:hint="eastAsia" w:ascii="宋体" w:hAnsi="宋体" w:eastAsia="宋体" w:cs="宋体"/>
          <w:b w:val="0"/>
          <w:bCs w:val="0"/>
          <w:sz w:val="21"/>
          <w:szCs w:val="21"/>
          <w:u w:val="single" w:color="000000"/>
        </w:rPr>
        <w:t>　　　　</w:t>
      </w:r>
      <w:r>
        <w:rPr>
          <w:rFonts w:hint="eastAsia" w:ascii="宋体" w:hAnsi="宋体" w:eastAsia="宋体" w:cs="宋体"/>
          <w:b w:val="0"/>
          <w:bCs w:val="0"/>
          <w:sz w:val="21"/>
          <w:szCs w:val="21"/>
        </w:rPr>
        <w:t>”就很好。</w:t>
      </w:r>
      <w:r>
        <w:rPr>
          <w:rFonts w:hint="eastAsia" w:ascii="宋体" w:hAnsi="宋体" w:eastAsia="宋体"/>
          <w:sz w:val="24"/>
          <w:szCs w:val="24"/>
        </w:rPr>
        <w:t> </w:t>
      </w:r>
    </w:p>
    <w:p w14:paraId="00290F0E">
      <w:pPr>
        <w:keepNext w:val="0"/>
        <w:keepLines w:val="0"/>
        <w:pageBreakBefore w:val="0"/>
        <w:kinsoku/>
        <w:overflowPunct/>
        <w:topLinePunct w:val="0"/>
        <w:autoSpaceDE/>
        <w:autoSpaceDN/>
        <w:bidi w:val="0"/>
        <w:spacing w:line="504" w:lineRule="auto"/>
        <w:jc w:val="both"/>
        <w:rPr>
          <w:rFonts w:hint="eastAsia" w:ascii="宋体" w:hAnsi="宋体" w:eastAsia="宋体" w:cs="宋体"/>
          <w:sz w:val="21"/>
          <w:szCs w:val="21"/>
        </w:rPr>
      </w:pPr>
      <w:r>
        <w:rPr>
          <w:rFonts w:hint="eastAsia" w:ascii="宋体" w:hAnsi="宋体" w:cs="宋体"/>
          <w:sz w:val="21"/>
          <w:szCs w:val="21"/>
          <w:lang w:val="en-US" w:eastAsia="zh-CN"/>
        </w:rPr>
        <w:t>11</w:t>
      </w:r>
      <w:r>
        <w:rPr>
          <w:rFonts w:hint="eastAsia" w:ascii="宋体" w:hAnsi="宋体" w:eastAsia="宋体" w:cs="宋体"/>
          <w:sz w:val="21"/>
          <w:szCs w:val="21"/>
        </w:rPr>
        <w:t>.陆游《书愤》在今昔对比中更强烈地抒发了岁月蹉跎,壮志难酬情怀的诗句是：</w:t>
      </w:r>
      <w:r>
        <w:rPr>
          <w:rFonts w:hint="eastAsia" w:ascii="宋体" w:hAnsi="宋体" w:eastAsia="宋体" w:cs="宋体"/>
          <w:sz w:val="21"/>
          <w:szCs w:val="21"/>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w:t>
      </w:r>
    </w:p>
    <w:p w14:paraId="599BFBAF">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12.</w:t>
      </w:r>
      <w:r>
        <w:rPr>
          <w:rFonts w:ascii="Times New Roman" w:hAnsi="Times New Roman" w:cs="Times New Roman"/>
        </w:rPr>
        <w:t>《李凭箜篌引》中，</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一句描写箜篌声音的多变</w:t>
      </w:r>
      <w:r>
        <w:rPr>
          <w:rFonts w:ascii="Times New Roman" w:hAnsi="Times New Roman" w:cs="Times New Roman"/>
        </w:rPr>
        <w:t>，悲欢交融，不仅可以耳闻，而且可以目睹，有形神兼备之妙。</w:t>
      </w:r>
    </w:p>
    <w:p w14:paraId="34BE77FB">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13.</w:t>
      </w:r>
      <w:r>
        <w:rPr>
          <w:rFonts w:ascii="Times New Roman" w:hAnsi="Times New Roman" w:cs="Times New Roman"/>
        </w:rPr>
        <w:t>《李凭箜篌引》中，诗人化用女娲炼石的典故从侧面写出了乐声的震撼效果的句子是</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ascii="Times New Roman" w:hAnsi="Times New Roman" w:cs="Times New Roman"/>
        </w:rPr>
        <w:t>，</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w:t>
      </w:r>
    </w:p>
    <w:p w14:paraId="671CEA0D">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14.</w:t>
      </w:r>
      <w:r>
        <w:rPr>
          <w:rFonts w:ascii="Times New Roman" w:hAnsi="Times New Roman" w:cs="Times New Roman"/>
        </w:rPr>
        <w:t>《李凭箜篌引》中，诗人化用吴刚伐桂和玉兔寒宫两个典故从侧面写出了乐声的动人效果的句子是</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ascii="Times New Roman" w:hAnsi="Times New Roman"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ascii="Times New Roman" w:hAnsi="Times New Roman" w:cs="Times New Roman"/>
        </w:rPr>
        <w:t>_</w:t>
      </w:r>
      <w:r>
        <w:rPr>
          <w:rFonts w:hAnsi="宋体" w:cs="Times New Roman"/>
        </w:rPr>
        <w:t>”</w:t>
      </w:r>
      <w:r>
        <w:rPr>
          <w:rFonts w:ascii="Times New Roman" w:hAnsi="Times New Roman" w:cs="Times New Roman"/>
        </w:rPr>
        <w:t>。</w:t>
      </w:r>
    </w:p>
    <w:p w14:paraId="5B8C0400">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15.</w:t>
      </w:r>
      <w:r>
        <w:rPr>
          <w:rFonts w:ascii="Times New Roman" w:hAnsi="Times New Roman" w:cs="Times New Roman"/>
        </w:rPr>
        <w:t>《李凭箜篌引》中，</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Ansi="宋体" w:cs="Times New Roman"/>
        </w:rPr>
        <w:t>”</w:t>
      </w:r>
      <w:r>
        <w:rPr>
          <w:rFonts w:ascii="Times New Roman" w:hAnsi="Times New Roman" w:cs="Times New Roman"/>
        </w:rPr>
        <w:t>一句从侧面写出了乐声的感染力，与苏轼《赤壁赋》中</w:t>
      </w:r>
      <w:r>
        <w:rPr>
          <w:rFonts w:hAnsi="宋体" w:cs="Times New Roman"/>
        </w:rPr>
        <w:t>“</w:t>
      </w:r>
      <w:r>
        <w:rPr>
          <w:rFonts w:ascii="Times New Roman" w:hAnsi="Times New Roman" w:cs="Times New Roman"/>
        </w:rPr>
        <w:t>舞幽壑之潜蛟</w:t>
      </w:r>
      <w:r>
        <w:rPr>
          <w:rFonts w:hAnsi="宋体" w:cs="Times New Roman"/>
        </w:rPr>
        <w:t>”</w:t>
      </w:r>
      <w:r>
        <w:rPr>
          <w:rFonts w:ascii="Times New Roman" w:hAnsi="Times New Roman" w:cs="Times New Roman"/>
        </w:rPr>
        <w:t>一句有异曲同工之妙。</w:t>
      </w:r>
    </w:p>
    <w:p w14:paraId="6864E219">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16.</w:t>
      </w:r>
      <w:r>
        <w:rPr>
          <w:rFonts w:ascii="Times New Roman" w:hAnsi="Times New Roman" w:cs="Times New Roman"/>
        </w:rPr>
        <w:t>《李凭箜篌引》中，</w:t>
      </w:r>
      <w:r>
        <w:rPr>
          <w:rFonts w:hAnsi="宋体" w:cs="Times New Roman"/>
        </w:rPr>
        <w:t>“</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一句和下面的</w:t>
      </w:r>
      <w:r>
        <w:rPr>
          <w:rFonts w:hAnsi="宋体" w:cs="Times New Roman"/>
        </w:rPr>
        <w:t>“</w:t>
      </w:r>
      <w:r>
        <w:rPr>
          <w:rFonts w:ascii="Times New Roman" w:hAnsi="Times New Roman" w:cs="Times New Roman"/>
        </w:rPr>
        <w:t>江娥</w:t>
      </w:r>
      <w:r>
        <w:rPr>
          <w:rFonts w:hAnsi="宋体" w:cs="Times New Roman"/>
        </w:rPr>
        <w:t>”</w:t>
      </w:r>
      <w:r>
        <w:rPr>
          <w:rFonts w:ascii="Times New Roman" w:hAnsi="Times New Roman" w:cs="Times New Roman"/>
        </w:rPr>
        <w:t>句互相配合，互相补充，极力烘托箜篌声神奇美妙，具有“惊天地，泣鬼神”的魅力。</w:t>
      </w:r>
    </w:p>
    <w:p w14:paraId="3BD00A05">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17.</w:t>
      </w:r>
      <w:r>
        <w:rPr>
          <w:rFonts w:ascii="Times New Roman" w:hAnsi="Times New Roman" w:cs="Times New Roman"/>
        </w:rPr>
        <w:t>《李凭箜篌引》中，</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一句化用江娥和素女的典故从侧面写出了乐声的感染力，与苏轼《赤壁赋》中</w:t>
      </w:r>
      <w:r>
        <w:rPr>
          <w:rFonts w:hAnsi="宋体" w:cs="Times New Roman"/>
        </w:rPr>
        <w:t>“</w:t>
      </w:r>
      <w:r>
        <w:rPr>
          <w:rFonts w:ascii="Times New Roman" w:hAnsi="Times New Roman" w:cs="Times New Roman"/>
        </w:rPr>
        <w:t>泣孤舟之嫠妇</w:t>
      </w:r>
      <w:r>
        <w:rPr>
          <w:rFonts w:hAnsi="宋体" w:cs="Times New Roman"/>
        </w:rPr>
        <w:t>”</w:t>
      </w:r>
      <w:r>
        <w:rPr>
          <w:rFonts w:ascii="Times New Roman" w:hAnsi="Times New Roman" w:cs="Times New Roman"/>
        </w:rPr>
        <w:t>一句有异曲同工之妙。</w:t>
      </w:r>
    </w:p>
    <w:p w14:paraId="10909096">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18.</w:t>
      </w:r>
      <w:r>
        <w:rPr>
          <w:rFonts w:ascii="Times New Roman" w:hAnsi="Times New Roman" w:cs="Times New Roman"/>
        </w:rPr>
        <w:t>《李凭箜篌引》中使用了大量的比喻和想象来描写乐师的高超技巧以及音乐的震撼效果，只有两句例外：一句是</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，点明了箜篌的构造以及演奏时间；一句是</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，交代了演奏师的名字、演奏地点以及乐器名称。</w:t>
      </w:r>
    </w:p>
    <w:p w14:paraId="607A220F">
      <w:pPr>
        <w:pStyle w:val="2"/>
        <w:keepNext w:val="0"/>
        <w:keepLines w:val="0"/>
        <w:pageBreakBefore w:val="0"/>
        <w:widowControl w:val="0"/>
        <w:kinsoku/>
        <w:wordWrap/>
        <w:overflowPunct/>
        <w:topLinePunct w:val="0"/>
        <w:autoSpaceDE/>
        <w:autoSpaceDN/>
        <w:bidi w:val="0"/>
        <w:adjustRightInd/>
        <w:snapToGrid w:val="0"/>
        <w:spacing w:line="504" w:lineRule="auto"/>
        <w:textAlignment w:val="auto"/>
        <w:rPr>
          <w:rFonts w:ascii="Times New Roman" w:hAnsi="Times New Roman" w:cs="Times New Roman"/>
        </w:rPr>
      </w:pPr>
      <w:r>
        <w:rPr>
          <w:rFonts w:hint="eastAsia" w:ascii="Times New Roman" w:hAnsi="Times New Roman" w:cs="Times New Roman"/>
          <w:lang w:val="en-US" w:eastAsia="zh-CN"/>
        </w:rPr>
        <w:t>19.</w:t>
      </w:r>
      <w:r>
        <w:rPr>
          <w:rFonts w:ascii="Times New Roman" w:hAnsi="Times New Roman" w:cs="Times New Roman"/>
        </w:rPr>
        <w:t>《李凭箜篌引》中，诗人描写乐师李凭弹奏的乐曲，主要使用了侧面描写的手法，但也有例外，像</w:t>
      </w:r>
      <w:r>
        <w:rPr>
          <w:rFonts w:hAnsi="宋体"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ascii="Times New Roman" w:hAnsi="Times New Roman" w:cs="Times New Roman"/>
        </w:rPr>
        <w:t>，</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Ansi="宋体" w:cs="Times New Roman"/>
        </w:rPr>
        <w:t>”</w:t>
      </w:r>
      <w:r>
        <w:rPr>
          <w:rFonts w:ascii="Times New Roman" w:hAnsi="Times New Roman" w:cs="Times New Roman"/>
        </w:rPr>
        <w:t>两句就通过比喻和想象对乐声进行了正面描写，把声音可视化，生动传神。</w:t>
      </w:r>
    </w:p>
    <w:p w14:paraId="31F4C94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1"/>
          <w:szCs w:val="21"/>
        </w:rPr>
      </w:pPr>
      <w:r>
        <w:rPr>
          <w:rFonts w:hint="eastAsia" w:ascii="宋体" w:hAnsi="宋体" w:eastAsia="宋体"/>
          <w:sz w:val="21"/>
          <w:szCs w:val="21"/>
          <w:lang w:val="en-US" w:eastAsia="zh-CN"/>
        </w:rPr>
        <w:t>20</w:t>
      </w:r>
      <w:r>
        <w:rPr>
          <w:rFonts w:ascii="宋体" w:hAnsi="宋体" w:eastAsia="宋体"/>
          <w:sz w:val="21"/>
          <w:szCs w:val="21"/>
        </w:rPr>
        <w:t>.[2023</w:t>
      </w:r>
      <w:r>
        <w:rPr>
          <w:rFonts w:hint="eastAsia" w:ascii="宋体" w:hAnsi="宋体" w:eastAsia="宋体"/>
          <w:sz w:val="21"/>
          <w:szCs w:val="21"/>
        </w:rPr>
        <w:t>·新课标全国</w:t>
      </w:r>
      <w:r>
        <w:rPr>
          <w:rFonts w:ascii="宋体" w:hAnsi="宋体" w:eastAsia="宋体"/>
          <w:sz w:val="21"/>
          <w:szCs w:val="21"/>
        </w:rPr>
        <w:t>Ⅰ</w:t>
      </w:r>
      <w:r>
        <w:rPr>
          <w:rFonts w:hint="eastAsia" w:ascii="宋体" w:hAnsi="宋体" w:eastAsia="宋体"/>
          <w:sz w:val="21"/>
          <w:szCs w:val="21"/>
        </w:rPr>
        <w:t>卷</w:t>
      </w:r>
      <w:r>
        <w:rPr>
          <w:rFonts w:ascii="宋体" w:hAnsi="宋体" w:eastAsia="宋体"/>
          <w:sz w:val="21"/>
          <w:szCs w:val="21"/>
        </w:rPr>
        <w:t>]</w:t>
      </w:r>
      <w:r>
        <w:rPr>
          <w:rFonts w:hint="eastAsia" w:ascii="宋体" w:hAnsi="宋体" w:eastAsia="宋体"/>
          <w:sz w:val="21"/>
          <w:szCs w:val="21"/>
        </w:rPr>
        <w:t xml:space="preserve"> 《旧唐书·音乐志》记载竖箜篌“体曲而长</w:t>
      </w:r>
      <w:r>
        <w:rPr>
          <w:rFonts w:ascii="宋体" w:hAnsi="宋体" w:eastAsia="宋体"/>
          <w:sz w:val="21"/>
          <w:szCs w:val="21"/>
        </w:rPr>
        <w:t>,</w:t>
      </w:r>
      <w:r>
        <w:rPr>
          <w:rFonts w:hint="eastAsia" w:ascii="宋体" w:hAnsi="宋体" w:eastAsia="宋体"/>
          <w:sz w:val="21"/>
          <w:szCs w:val="21"/>
        </w:rPr>
        <w:t>二十有二弦”</w:t>
      </w:r>
      <w:r>
        <w:rPr>
          <w:rFonts w:ascii="宋体" w:hAnsi="宋体" w:eastAsia="宋体"/>
          <w:sz w:val="21"/>
          <w:szCs w:val="21"/>
        </w:rPr>
        <w:t>,</w:t>
      </w:r>
      <w:r>
        <w:rPr>
          <w:rFonts w:hint="eastAsia" w:ascii="宋体" w:hAnsi="宋体" w:eastAsia="宋体"/>
          <w:sz w:val="21"/>
          <w:szCs w:val="21"/>
        </w:rPr>
        <w:t>而李贺《李凭箜篌引》中“</w:t>
      </w:r>
      <w:r>
        <w:rPr>
          <w:rFonts w:ascii="宋体" w:hAnsi="宋体" w:eastAsia="宋体"/>
          <w:sz w:val="21"/>
          <w:szCs w:val="21"/>
          <w:u w:val="single" w:color="000000"/>
        </w:rPr>
        <w:t>　　　　　　</w:t>
      </w:r>
      <w:r>
        <w:rPr>
          <w:rFonts w:hint="eastAsia" w:ascii="宋体" w:hAnsi="宋体" w:eastAsia="宋体"/>
          <w:sz w:val="21"/>
          <w:szCs w:val="21"/>
          <w:u w:val="single" w:color="000000"/>
          <w:lang w:val="en-US" w:eastAsia="zh-CN"/>
        </w:rPr>
        <w:t xml:space="preserve">    </w:t>
      </w:r>
      <w:r>
        <w:rPr>
          <w:rFonts w:ascii="宋体" w:hAnsi="宋体" w:eastAsia="宋体"/>
          <w:sz w:val="21"/>
          <w:szCs w:val="21"/>
          <w:u w:val="single" w:color="000000"/>
        </w:rPr>
        <w:t>　　　　　　</w:t>
      </w:r>
      <w:r>
        <w:rPr>
          <w:rFonts w:ascii="宋体" w:hAnsi="宋体" w:eastAsia="宋体"/>
          <w:sz w:val="21"/>
          <w:szCs w:val="21"/>
        </w:rPr>
        <w:t>,</w:t>
      </w:r>
      <w:r>
        <w:rPr>
          <w:rFonts w:ascii="宋体" w:hAnsi="宋体" w:eastAsia="宋体"/>
          <w:sz w:val="21"/>
          <w:szCs w:val="21"/>
          <w:u w:val="single" w:color="000000"/>
        </w:rPr>
        <w:t>　　　　</w:t>
      </w:r>
      <w:r>
        <w:rPr>
          <w:rFonts w:hint="eastAsia" w:ascii="宋体" w:hAnsi="宋体" w:eastAsia="宋体"/>
          <w:sz w:val="21"/>
          <w:szCs w:val="21"/>
          <w:u w:val="single" w:color="000000"/>
          <w:lang w:val="en-US" w:eastAsia="zh-CN"/>
        </w:rPr>
        <w:t xml:space="preserve">  </w:t>
      </w:r>
      <w:r>
        <w:rPr>
          <w:rFonts w:ascii="宋体" w:hAnsi="宋体" w:eastAsia="宋体"/>
          <w:sz w:val="21"/>
          <w:szCs w:val="21"/>
          <w:u w:val="single" w:color="000000"/>
        </w:rPr>
        <w:t>　　　　　　　　</w:t>
      </w:r>
      <w:r>
        <w:rPr>
          <w:rFonts w:hint="eastAsia" w:ascii="宋体" w:hAnsi="宋体" w:eastAsia="宋体"/>
          <w:sz w:val="21"/>
          <w:szCs w:val="21"/>
        </w:rPr>
        <w:t>”</w:t>
      </w:r>
      <w:r>
        <w:rPr>
          <w:rFonts w:hint="eastAsia" w:ascii="宋体" w:hAnsi="宋体" w:eastAsia="宋体"/>
          <w:sz w:val="21"/>
          <w:szCs w:val="21"/>
        </w:rPr>
        <w:t>两句</w:t>
      </w:r>
      <w:r>
        <w:rPr>
          <w:rFonts w:ascii="宋体" w:hAnsi="宋体" w:eastAsia="宋体"/>
          <w:sz w:val="21"/>
          <w:szCs w:val="21"/>
        </w:rPr>
        <w:t>,</w:t>
      </w:r>
      <w:r>
        <w:rPr>
          <w:rFonts w:hint="eastAsia" w:ascii="宋体" w:hAnsi="宋体" w:eastAsia="宋体"/>
          <w:sz w:val="21"/>
          <w:szCs w:val="21"/>
        </w:rPr>
        <w:t>说明竖箜篌的弦数还有另一种可能。 </w:t>
      </w:r>
    </w:p>
    <w:p w14:paraId="5BEF5330">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cs="Times New Roman"/>
          <w:lang w:val="en-US" w:eastAsia="zh-CN"/>
        </w:rPr>
      </w:pPr>
      <w:bookmarkStart w:id="0" w:name="_GoBack"/>
      <w:bookmarkEnd w:id="0"/>
      <w:r>
        <w:rPr>
          <w:rFonts w:hint="eastAsia" w:ascii="宋体" w:hAnsi="宋体" w:eastAsia="宋体" w:cs="宋体"/>
          <w:sz w:val="21"/>
          <w:szCs w:val="21"/>
        </w:rPr>
        <w:t>1.</w:t>
      </w:r>
      <w:r>
        <w:rPr>
          <w:rFonts w:hint="eastAsia" w:ascii="Times New Roman" w:hAnsi="Times New Roman" w:cs="Times New Roman"/>
        </w:rPr>
        <w:t>锦瑟无端五十弦，一弦一柱思华年</w:t>
      </w:r>
      <w:r>
        <w:rPr>
          <w:rFonts w:hint="eastAsia" w:cs="Times New Roman"/>
          <w:lang w:val="en-US" w:eastAsia="zh-CN"/>
        </w:rPr>
        <w:t xml:space="preserve">   </w:t>
      </w:r>
      <w:r>
        <w:rPr>
          <w:rFonts w:hint="eastAsia" w:ascii="Times New Roman" w:hAnsi="Times New Roman" w:cs="Times New Roman"/>
        </w:rPr>
        <w:t>2.此情可待成追忆</w:t>
      </w:r>
      <w:r>
        <w:rPr>
          <w:rFonts w:hint="eastAsia" w:ascii="Times New Roman" w:hAnsi="Times New Roman" w:cs="Times New Roman"/>
          <w:lang w:eastAsia="zh-CN"/>
        </w:rPr>
        <w:t>，</w:t>
      </w:r>
      <w:r>
        <w:rPr>
          <w:rFonts w:hint="eastAsia" w:ascii="Times New Roman" w:hAnsi="Times New Roman" w:cs="Times New Roman"/>
        </w:rPr>
        <w:t>只是当时</w:t>
      </w:r>
      <w:r>
        <w:rPr>
          <w:rFonts w:hint="eastAsia" w:ascii="楷体" w:hAnsi="楷体" w:eastAsia="楷体" w:cs="楷体"/>
          <w:b/>
          <w:bCs/>
          <w:color w:val="0000FF"/>
          <w:sz w:val="36"/>
          <w:szCs w:val="44"/>
          <w:lang w:eastAsia="zh-CN"/>
        </w:rPr>
        <w:t>已惘</w:t>
      </w:r>
      <w:r>
        <w:rPr>
          <w:rFonts w:hint="eastAsia" w:ascii="Times New Roman" w:hAnsi="Times New Roman" w:cs="Times New Roman"/>
        </w:rPr>
        <w:t>然。</w:t>
      </w:r>
      <w:r>
        <w:rPr>
          <w:rFonts w:hint="eastAsia" w:cs="Times New Roman"/>
          <w:lang w:val="en-US" w:eastAsia="zh-CN"/>
        </w:rPr>
        <w:t xml:space="preserve">   </w:t>
      </w:r>
    </w:p>
    <w:p w14:paraId="79DDFAA0">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cs="Times New Roman"/>
          <w:lang w:val="en-US" w:eastAsia="zh-CN"/>
        </w:rPr>
      </w:pPr>
      <w:r>
        <w:rPr>
          <w:rFonts w:hint="eastAsia" w:ascii="Times New Roman" w:hAnsi="Times New Roman" w:cs="Times New Roman"/>
        </w:rPr>
        <w:t>3.</w:t>
      </w:r>
      <w:r>
        <w:rPr>
          <w:rFonts w:hint="eastAsia" w:ascii="楷体" w:hAnsi="楷体" w:eastAsia="楷体" w:cs="楷体"/>
          <w:b/>
          <w:bCs/>
          <w:color w:val="0000FF"/>
          <w:sz w:val="36"/>
          <w:szCs w:val="44"/>
          <w:lang w:eastAsia="zh-CN"/>
        </w:rPr>
        <w:t>沧</w:t>
      </w:r>
      <w:r>
        <w:rPr>
          <w:rFonts w:hint="eastAsia" w:ascii="Times New Roman" w:hAnsi="Times New Roman" w:cs="Times New Roman"/>
        </w:rPr>
        <w:t>海月明珠有泪，蓝田</w:t>
      </w:r>
      <w:r>
        <w:rPr>
          <w:rFonts w:hint="eastAsia" w:ascii="楷体" w:hAnsi="楷体" w:eastAsia="楷体" w:cs="楷体"/>
          <w:b/>
          <w:bCs/>
          <w:color w:val="0000FF"/>
          <w:sz w:val="36"/>
          <w:szCs w:val="44"/>
          <w:lang w:val="en-US" w:eastAsia="zh-CN"/>
        </w:rPr>
        <w:t>日</w:t>
      </w:r>
      <w:r>
        <w:rPr>
          <w:rFonts w:hint="eastAsia" w:ascii="Times New Roman" w:hAnsi="Times New Roman" w:cs="Times New Roman"/>
        </w:rPr>
        <w:t>暖</w:t>
      </w:r>
      <w:r>
        <w:rPr>
          <w:rFonts w:hint="eastAsia" w:ascii="楷体" w:hAnsi="楷体" w:eastAsia="楷体" w:cs="楷体"/>
          <w:b/>
          <w:bCs/>
          <w:color w:val="0000FF"/>
          <w:sz w:val="36"/>
          <w:szCs w:val="44"/>
          <w:lang w:val="en-US" w:eastAsia="zh-CN"/>
        </w:rPr>
        <w:t>玉</w:t>
      </w:r>
      <w:r>
        <w:rPr>
          <w:rFonts w:hint="eastAsia" w:ascii="Times New Roman" w:hAnsi="Times New Roman" w:cs="Times New Roman"/>
        </w:rPr>
        <w:t>生烟</w:t>
      </w:r>
      <w:r>
        <w:rPr>
          <w:rFonts w:hint="eastAsia" w:cs="Times New Roman"/>
          <w:lang w:val="en-US" w:eastAsia="zh-CN"/>
        </w:rPr>
        <w:t xml:space="preserve">    </w:t>
      </w:r>
      <w:r>
        <w:rPr>
          <w:rFonts w:hint="eastAsia" w:ascii="Times New Roman" w:hAnsi="Times New Roman" w:cs="Times New Roman"/>
          <w:lang w:val="en-US" w:eastAsia="zh-CN"/>
        </w:rPr>
        <w:t>4</w:t>
      </w:r>
      <w:r>
        <w:rPr>
          <w:rFonts w:hint="eastAsia" w:ascii="Times New Roman" w:hAnsi="Times New Roman" w:cs="Times New Roman"/>
        </w:rPr>
        <w:t>.</w:t>
      </w:r>
      <w:r>
        <w:rPr>
          <w:rFonts w:hint="eastAsia" w:ascii="楷体" w:hAnsi="楷体" w:eastAsia="楷体" w:cs="楷体"/>
          <w:b/>
          <w:bCs/>
          <w:color w:val="0000FF"/>
          <w:sz w:val="36"/>
          <w:szCs w:val="44"/>
          <w:lang w:val="en-US" w:eastAsia="zh-CN"/>
        </w:rPr>
        <w:t>沧</w:t>
      </w:r>
      <w:r>
        <w:rPr>
          <w:rFonts w:hint="eastAsia" w:ascii="Times New Roman" w:hAnsi="Times New Roman" w:cs="Times New Roman"/>
        </w:rPr>
        <w:t>海月明珠有泪，蓝田</w:t>
      </w:r>
      <w:r>
        <w:rPr>
          <w:rFonts w:hint="eastAsia" w:ascii="楷体" w:hAnsi="楷体" w:eastAsia="楷体" w:cs="楷体"/>
          <w:b/>
          <w:bCs/>
          <w:color w:val="0000FF"/>
          <w:sz w:val="36"/>
          <w:szCs w:val="44"/>
          <w:lang w:val="en-US" w:eastAsia="zh-CN"/>
        </w:rPr>
        <w:t>日</w:t>
      </w:r>
      <w:r>
        <w:rPr>
          <w:rFonts w:hint="eastAsia" w:ascii="Times New Roman" w:hAnsi="Times New Roman" w:cs="Times New Roman"/>
        </w:rPr>
        <w:t>暖</w:t>
      </w:r>
      <w:r>
        <w:rPr>
          <w:rFonts w:hint="eastAsia" w:ascii="楷体" w:hAnsi="楷体" w:eastAsia="楷体" w:cs="楷体"/>
          <w:b/>
          <w:bCs/>
          <w:color w:val="0000FF"/>
          <w:sz w:val="36"/>
          <w:szCs w:val="44"/>
          <w:lang w:val="en-US" w:eastAsia="zh-CN"/>
        </w:rPr>
        <w:t>玉</w:t>
      </w:r>
      <w:r>
        <w:rPr>
          <w:rFonts w:hint="eastAsia" w:ascii="Times New Roman" w:hAnsi="Times New Roman" w:cs="Times New Roman"/>
        </w:rPr>
        <w:t>生烟</w:t>
      </w:r>
      <w:r>
        <w:rPr>
          <w:rFonts w:hint="eastAsia" w:cs="Times New Roman"/>
          <w:lang w:val="en-US" w:eastAsia="zh-CN"/>
        </w:rPr>
        <w:t xml:space="preserve">   </w:t>
      </w:r>
    </w:p>
    <w:p w14:paraId="031AEC50">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Times New Roman" w:hAnsi="Times New Roman" w:eastAsia="宋体" w:cs="Times New Roman"/>
        </w:rPr>
      </w:pPr>
      <w:r>
        <w:rPr>
          <w:rFonts w:hint="eastAsia" w:ascii="Times New Roman" w:hAnsi="Times New Roman" w:cs="Times New Roman"/>
          <w:lang w:val="en-US" w:eastAsia="zh-CN"/>
        </w:rPr>
        <w:t>5</w:t>
      </w:r>
      <w:r>
        <w:rPr>
          <w:rFonts w:hint="eastAsia" w:ascii="Times New Roman" w:hAnsi="Times New Roman" w:cs="Times New Roman"/>
        </w:rPr>
        <w:t>.庄</w:t>
      </w:r>
      <w:r>
        <w:rPr>
          <w:rFonts w:hint="eastAsia" w:ascii="楷体" w:hAnsi="楷体" w:eastAsia="楷体" w:cs="楷体"/>
          <w:b/>
          <w:bCs/>
          <w:color w:val="0000FF"/>
          <w:sz w:val="36"/>
          <w:szCs w:val="44"/>
          <w:lang w:val="en-US" w:eastAsia="zh-CN"/>
        </w:rPr>
        <w:t>生</w:t>
      </w:r>
      <w:r>
        <w:rPr>
          <w:rFonts w:hint="eastAsia" w:ascii="Times New Roman" w:hAnsi="Times New Roman" w:cs="Times New Roman"/>
        </w:rPr>
        <w:t>晓梦迷蝴蝶，望帝春心托杜鹃</w:t>
      </w:r>
      <w:r>
        <w:rPr>
          <w:rFonts w:hint="eastAsia" w:cs="Times New Roman"/>
          <w:lang w:val="en-US" w:eastAsia="zh-CN"/>
        </w:rPr>
        <w:t xml:space="preserve">   6.</w:t>
      </w:r>
      <w:r>
        <w:rPr>
          <w:rFonts w:hint="eastAsia" w:ascii="Times New Roman" w:hAnsi="Times New Roman" w:eastAsia="宋体" w:cs="Times New Roman"/>
        </w:rPr>
        <w:t>锦瑟无端五十弦　一弦一柱思华年</w:t>
      </w:r>
    </w:p>
    <w:p w14:paraId="22F766C2">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cs="Times New Roman"/>
          <w:lang w:val="en-US" w:eastAsia="zh-CN"/>
        </w:rPr>
      </w:pPr>
      <w:r>
        <w:rPr>
          <w:rFonts w:hint="eastAsia" w:cs="Times New Roman"/>
          <w:lang w:val="en-US" w:eastAsia="zh-CN"/>
        </w:rPr>
        <w:t>7</w:t>
      </w:r>
      <w:r>
        <w:rPr>
          <w:rFonts w:hint="eastAsia" w:ascii="Times New Roman" w:hAnsi="Times New Roman" w:cs="Times New Roman"/>
        </w:rPr>
        <w:t>.楼船夜雪瓜</w:t>
      </w:r>
      <w:r>
        <w:rPr>
          <w:rFonts w:hint="eastAsia" w:ascii="楷体" w:hAnsi="楷体" w:eastAsia="楷体" w:cs="楷体"/>
          <w:b/>
          <w:bCs/>
          <w:color w:val="0000FF"/>
          <w:sz w:val="36"/>
          <w:szCs w:val="44"/>
          <w:lang w:val="en-US" w:eastAsia="zh-CN"/>
        </w:rPr>
        <w:t>洲</w:t>
      </w:r>
      <w:r>
        <w:rPr>
          <w:rFonts w:hint="eastAsia" w:ascii="Times New Roman" w:hAnsi="Times New Roman" w:cs="Times New Roman"/>
        </w:rPr>
        <w:t>渡，铁马秋风大散关</w:t>
      </w:r>
      <w:r>
        <w:rPr>
          <w:rFonts w:hint="eastAsia" w:cs="Times New Roman"/>
          <w:lang w:val="en-US" w:eastAsia="zh-CN"/>
        </w:rPr>
        <w:t xml:space="preserve">   8</w:t>
      </w:r>
      <w:r>
        <w:rPr>
          <w:rFonts w:hint="eastAsia" w:ascii="Times New Roman" w:hAnsi="Times New Roman" w:cs="Times New Roman"/>
        </w:rPr>
        <w:t>.楼船夜雪瓜</w:t>
      </w:r>
      <w:r>
        <w:rPr>
          <w:rFonts w:hint="eastAsia" w:ascii="楷体" w:hAnsi="楷体" w:eastAsia="楷体" w:cs="楷体"/>
          <w:b/>
          <w:bCs/>
          <w:color w:val="0000FF"/>
          <w:sz w:val="36"/>
          <w:szCs w:val="44"/>
          <w:lang w:val="en-US" w:eastAsia="zh-CN"/>
        </w:rPr>
        <w:t>洲</w:t>
      </w:r>
      <w:r>
        <w:rPr>
          <w:rFonts w:hint="eastAsia" w:ascii="Times New Roman" w:hAnsi="Times New Roman" w:cs="Times New Roman"/>
        </w:rPr>
        <w:t>渡，铁马秋风大散关</w:t>
      </w:r>
      <w:r>
        <w:rPr>
          <w:rFonts w:hint="eastAsia" w:cs="Times New Roman"/>
          <w:lang w:val="en-US" w:eastAsia="zh-CN"/>
        </w:rPr>
        <w:t xml:space="preserve">    </w:t>
      </w:r>
    </w:p>
    <w:p w14:paraId="35AF763C">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cs="Times New Roman"/>
          <w:lang w:val="en-US" w:eastAsia="zh-CN"/>
        </w:rPr>
      </w:pPr>
      <w:r>
        <w:rPr>
          <w:rFonts w:hint="eastAsia" w:cs="Times New Roman"/>
          <w:lang w:val="en-US" w:eastAsia="zh-CN"/>
        </w:rPr>
        <w:t>9</w:t>
      </w:r>
      <w:r>
        <w:rPr>
          <w:rFonts w:hint="eastAsia" w:ascii="Times New Roman" w:hAnsi="Times New Roman" w:cs="Times New Roman"/>
        </w:rPr>
        <w:t>.早岁</w:t>
      </w:r>
      <w:r>
        <w:rPr>
          <w:rFonts w:hint="eastAsia" w:ascii="楷体" w:hAnsi="楷体" w:eastAsia="楷体" w:cs="楷体"/>
          <w:b/>
          <w:bCs/>
          <w:color w:val="0000FF"/>
          <w:sz w:val="36"/>
          <w:szCs w:val="44"/>
          <w:lang w:val="en-US" w:eastAsia="zh-CN"/>
        </w:rPr>
        <w:t>那</w:t>
      </w:r>
      <w:r>
        <w:rPr>
          <w:rFonts w:hint="eastAsia" w:ascii="Times New Roman" w:hAnsi="Times New Roman" w:cs="Times New Roman"/>
        </w:rPr>
        <w:t>知世事艰，中原北望气如山</w:t>
      </w:r>
      <w:r>
        <w:rPr>
          <w:rFonts w:hint="eastAsia" w:cs="Times New Roman"/>
          <w:lang w:val="en-US" w:eastAsia="zh-CN"/>
        </w:rPr>
        <w:t xml:space="preserve">   10</w:t>
      </w:r>
      <w:r>
        <w:rPr>
          <w:rFonts w:hint="eastAsia" w:ascii="Times New Roman" w:hAnsi="Times New Roman" w:cs="Times New Roman"/>
        </w:rPr>
        <w:t>.出师一表真名世，千载谁堪伯仲间</w:t>
      </w:r>
      <w:r>
        <w:rPr>
          <w:rFonts w:hint="eastAsia" w:cs="Times New Roman"/>
          <w:lang w:val="en-US" w:eastAsia="zh-CN"/>
        </w:rPr>
        <w:t xml:space="preserve">    </w:t>
      </w:r>
    </w:p>
    <w:p w14:paraId="50FEEF22">
      <w:pPr>
        <w:keepNext w:val="0"/>
        <w:keepLines w:val="0"/>
        <w:pageBreakBefore w:val="0"/>
        <w:widowControl w:val="0"/>
        <w:kinsoku/>
        <w:wordWrap/>
        <w:overflowPunct/>
        <w:topLinePunct w:val="0"/>
        <w:autoSpaceDE/>
        <w:autoSpaceDN/>
        <w:bidi w:val="0"/>
        <w:adjustRightInd/>
        <w:snapToGrid w:val="0"/>
        <w:spacing w:line="288" w:lineRule="auto"/>
        <w:textAlignment w:val="auto"/>
        <w:rPr>
          <w:rFonts w:ascii="Times New Roman" w:hAnsi="Times New Roman" w:cs="Times New Roman"/>
        </w:rPr>
      </w:pPr>
      <w:r>
        <w:rPr>
          <w:rFonts w:hint="eastAsia" w:ascii="Times New Roman" w:hAnsi="Times New Roman" w:cs="Times New Roman"/>
          <w:lang w:val="en-US" w:eastAsia="zh-CN"/>
        </w:rPr>
        <w:t>1</w:t>
      </w:r>
      <w:r>
        <w:rPr>
          <w:rFonts w:hint="eastAsia" w:cs="Times New Roman"/>
          <w:lang w:val="en-US" w:eastAsia="zh-CN"/>
        </w:rPr>
        <w:t>1</w:t>
      </w:r>
      <w:r>
        <w:rPr>
          <w:rFonts w:hint="eastAsia" w:ascii="Times New Roman" w:hAnsi="Times New Roman" w:cs="Times New Roman"/>
        </w:rPr>
        <w:t>.塞上长城空自许，镜中衰</w:t>
      </w:r>
      <w:r>
        <w:rPr>
          <w:rFonts w:hint="eastAsia" w:ascii="楷体" w:hAnsi="楷体" w:eastAsia="楷体" w:cs="楷体"/>
          <w:b/>
          <w:bCs/>
          <w:color w:val="0000FF"/>
          <w:sz w:val="36"/>
          <w:szCs w:val="44"/>
          <w:lang w:val="en-US" w:eastAsia="zh-CN"/>
        </w:rPr>
        <w:t>鬓</w:t>
      </w:r>
      <w:r>
        <w:rPr>
          <w:rFonts w:hint="eastAsia" w:ascii="Times New Roman" w:hAnsi="Times New Roman" w:cs="Times New Roman"/>
        </w:rPr>
        <w:t>已先</w:t>
      </w:r>
      <w:r>
        <w:rPr>
          <w:rFonts w:hint="eastAsia" w:ascii="楷体" w:hAnsi="楷体" w:eastAsia="楷体" w:cs="楷体"/>
          <w:b/>
          <w:bCs/>
          <w:color w:val="0000FF"/>
          <w:sz w:val="36"/>
          <w:szCs w:val="44"/>
          <w:lang w:val="en-US" w:eastAsia="zh-CN"/>
        </w:rPr>
        <w:t xml:space="preserve">斑 </w:t>
      </w:r>
      <w:r>
        <w:rPr>
          <w:rFonts w:hint="eastAsia" w:cs="Times New Roman"/>
          <w:lang w:val="en-US" w:eastAsia="zh-CN"/>
        </w:rPr>
        <w:t>12</w:t>
      </w:r>
      <w:r>
        <w:rPr>
          <w:rFonts w:hint="eastAsia" w:ascii="Times New Roman" w:hAnsi="Times New Roman" w:cs="Times New Roman"/>
          <w:lang w:val="en-US" w:eastAsia="zh-CN"/>
        </w:rPr>
        <w:t>.</w:t>
      </w:r>
      <w:r>
        <w:rPr>
          <w:rFonts w:ascii="Times New Roman" w:hAnsi="Times New Roman" w:cs="Times New Roman"/>
        </w:rPr>
        <w:t>芙蓉泣露香兰笑　</w:t>
      </w:r>
    </w:p>
    <w:p w14:paraId="4AE74A9B">
      <w:pPr>
        <w:keepNext w:val="0"/>
        <w:keepLines w:val="0"/>
        <w:pageBreakBefore w:val="0"/>
        <w:widowControl w:val="0"/>
        <w:kinsoku/>
        <w:wordWrap/>
        <w:overflowPunct/>
        <w:topLinePunct w:val="0"/>
        <w:autoSpaceDE/>
        <w:autoSpaceDN/>
        <w:bidi w:val="0"/>
        <w:adjustRightInd/>
        <w:snapToGrid w:val="0"/>
        <w:spacing w:line="288" w:lineRule="auto"/>
        <w:textAlignment w:val="auto"/>
        <w:rPr>
          <w:rFonts w:ascii="Times New Roman" w:hAnsi="Times New Roman" w:cs="Times New Roman"/>
        </w:rPr>
      </w:pPr>
      <w:r>
        <w:rPr>
          <w:rFonts w:hint="eastAsia" w:cs="Times New Roman"/>
          <w:lang w:val="en-US" w:eastAsia="zh-CN"/>
        </w:rPr>
        <w:t>13</w:t>
      </w:r>
      <w:r>
        <w:rPr>
          <w:rFonts w:hint="eastAsia" w:ascii="Times New Roman" w:hAnsi="Times New Roman" w:cs="Times New Roman"/>
          <w:lang w:val="en-US" w:eastAsia="zh-CN"/>
        </w:rPr>
        <w:t>.</w:t>
      </w:r>
      <w:r>
        <w:rPr>
          <w:rFonts w:ascii="Times New Roman" w:hAnsi="Times New Roman" w:cs="Times New Roman"/>
        </w:rPr>
        <w:t>女娲</w:t>
      </w:r>
      <w:r>
        <w:rPr>
          <w:rFonts w:hint="eastAsia" w:ascii="楷体" w:hAnsi="楷体" w:eastAsia="楷体" w:cs="楷体"/>
          <w:b/>
          <w:bCs/>
          <w:color w:val="0000FF"/>
          <w:sz w:val="36"/>
          <w:szCs w:val="44"/>
          <w:lang w:eastAsia="zh-CN"/>
        </w:rPr>
        <w:t>炼</w:t>
      </w:r>
      <w:r>
        <w:rPr>
          <w:rFonts w:ascii="Times New Roman" w:hAnsi="Times New Roman" w:cs="Times New Roman"/>
        </w:rPr>
        <w:t>石补天处　石破天惊逗秋雨　</w:t>
      </w:r>
      <w:r>
        <w:rPr>
          <w:rFonts w:hint="eastAsia" w:cs="Times New Roman"/>
          <w:lang w:val="en-US" w:eastAsia="zh-CN"/>
        </w:rPr>
        <w:t>14</w:t>
      </w:r>
      <w:r>
        <w:rPr>
          <w:rFonts w:hint="eastAsia" w:ascii="Times New Roman" w:hAnsi="Times New Roman" w:cs="Times New Roman"/>
          <w:lang w:val="en-US" w:eastAsia="zh-CN"/>
        </w:rPr>
        <w:t>.</w:t>
      </w:r>
      <w:r>
        <w:rPr>
          <w:rFonts w:ascii="Times New Roman" w:hAnsi="Times New Roman" w:cs="Times New Roman"/>
        </w:rPr>
        <w:t>吴质不眠倚桂树　露脚斜飞湿寒兔　</w:t>
      </w:r>
    </w:p>
    <w:p w14:paraId="585243AB">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cs="Times New Roman"/>
          <w:lang w:val="en-US" w:eastAsia="zh-CN"/>
        </w:rPr>
      </w:pPr>
      <w:r>
        <w:rPr>
          <w:rFonts w:hint="eastAsia" w:cs="Times New Roman"/>
          <w:lang w:val="en-US" w:eastAsia="zh-CN"/>
        </w:rPr>
        <w:t>15</w:t>
      </w:r>
      <w:r>
        <w:rPr>
          <w:rFonts w:hint="eastAsia" w:ascii="Times New Roman" w:hAnsi="Times New Roman" w:cs="Times New Roman"/>
          <w:lang w:val="en-US" w:eastAsia="zh-CN"/>
        </w:rPr>
        <w:t>.</w:t>
      </w:r>
      <w:r>
        <w:rPr>
          <w:rFonts w:ascii="Times New Roman" w:hAnsi="Times New Roman" w:cs="Times New Roman"/>
        </w:rPr>
        <w:t>老鱼跳波瘦</w:t>
      </w:r>
      <w:r>
        <w:rPr>
          <w:rFonts w:hint="eastAsia" w:ascii="楷体" w:hAnsi="楷体" w:eastAsia="楷体" w:cs="楷体"/>
          <w:color w:val="0000FF"/>
          <w:sz w:val="36"/>
          <w:szCs w:val="44"/>
          <w:lang w:eastAsia="zh-CN"/>
        </w:rPr>
        <w:t>蛟</w:t>
      </w:r>
      <w:r>
        <w:rPr>
          <w:rFonts w:hint="eastAsia" w:ascii="Times New Roman" w:hAnsi="Times New Roman" w:cs="Times New Roman"/>
          <w:lang w:eastAsia="zh-CN"/>
        </w:rPr>
        <w:t>舞</w:t>
      </w:r>
      <w:r>
        <w:rPr>
          <w:rFonts w:hint="eastAsia" w:ascii="楷体" w:hAnsi="楷体" w:eastAsia="楷体" w:cs="楷体"/>
          <w:color w:val="0000FF"/>
          <w:sz w:val="36"/>
          <w:szCs w:val="44"/>
          <w:lang w:eastAsia="zh-CN"/>
        </w:rPr>
        <w:t>　</w:t>
      </w:r>
      <w:r>
        <w:rPr>
          <w:rFonts w:hint="eastAsia" w:cs="Times New Roman"/>
          <w:lang w:val="en-US" w:eastAsia="zh-CN"/>
        </w:rPr>
        <w:t>16</w:t>
      </w:r>
      <w:r>
        <w:rPr>
          <w:rFonts w:hint="eastAsia" w:ascii="Times New Roman" w:hAnsi="Times New Roman" w:cs="Times New Roman"/>
          <w:lang w:val="en-US" w:eastAsia="zh-CN"/>
        </w:rPr>
        <w:t>.</w:t>
      </w:r>
      <w:r>
        <w:rPr>
          <w:rFonts w:ascii="Times New Roman" w:hAnsi="Times New Roman" w:cs="Times New Roman"/>
        </w:rPr>
        <w:t>空山凝云</w:t>
      </w:r>
      <w:r>
        <w:rPr>
          <w:rFonts w:hint="eastAsia" w:ascii="楷体" w:hAnsi="楷体" w:eastAsia="楷体" w:cs="楷体"/>
          <w:color w:val="0000FF"/>
          <w:sz w:val="36"/>
          <w:szCs w:val="44"/>
          <w:lang w:eastAsia="zh-CN"/>
        </w:rPr>
        <w:t>颓</w:t>
      </w:r>
      <w:r>
        <w:rPr>
          <w:rFonts w:ascii="Times New Roman" w:hAnsi="Times New Roman" w:cs="Times New Roman"/>
        </w:rPr>
        <w:t>不流　</w:t>
      </w:r>
      <w:r>
        <w:rPr>
          <w:rFonts w:hint="eastAsia" w:cs="Times New Roman"/>
          <w:lang w:val="en-US" w:eastAsia="zh-CN"/>
        </w:rPr>
        <w:t>17</w:t>
      </w:r>
      <w:r>
        <w:rPr>
          <w:rFonts w:hint="eastAsia" w:ascii="Times New Roman" w:hAnsi="Times New Roman" w:cs="Times New Roman"/>
          <w:lang w:val="en-US" w:eastAsia="zh-CN"/>
        </w:rPr>
        <w:t>.</w:t>
      </w:r>
      <w:r>
        <w:rPr>
          <w:rFonts w:ascii="Times New Roman" w:hAnsi="Times New Roman" w:cs="Times New Roman"/>
        </w:rPr>
        <w:t>江</w:t>
      </w:r>
      <w:r>
        <w:rPr>
          <w:rFonts w:hint="eastAsia" w:ascii="楷体" w:hAnsi="楷体" w:eastAsia="楷体" w:cs="楷体"/>
          <w:color w:val="0000FF"/>
          <w:sz w:val="36"/>
          <w:szCs w:val="44"/>
          <w:lang w:eastAsia="zh-CN"/>
        </w:rPr>
        <w:t>娥</w:t>
      </w:r>
      <w:r>
        <w:rPr>
          <w:rFonts w:ascii="Times New Roman" w:hAnsi="Times New Roman" w:cs="Times New Roman"/>
        </w:rPr>
        <w:t>啼竹素女愁</w:t>
      </w:r>
      <w:r>
        <w:rPr>
          <w:rFonts w:hint="eastAsia" w:cs="Times New Roman"/>
          <w:lang w:val="en-US" w:eastAsia="zh-CN"/>
        </w:rPr>
        <w:t xml:space="preserve">     </w:t>
      </w:r>
    </w:p>
    <w:p w14:paraId="51057942">
      <w:pPr>
        <w:keepNext w:val="0"/>
        <w:keepLines w:val="0"/>
        <w:pageBreakBefore w:val="0"/>
        <w:widowControl w:val="0"/>
        <w:kinsoku/>
        <w:wordWrap/>
        <w:overflowPunct/>
        <w:topLinePunct w:val="0"/>
        <w:autoSpaceDE/>
        <w:autoSpaceDN/>
        <w:bidi w:val="0"/>
        <w:adjustRightInd/>
        <w:snapToGrid w:val="0"/>
        <w:spacing w:line="288" w:lineRule="auto"/>
        <w:textAlignment w:val="auto"/>
        <w:rPr>
          <w:rFonts w:ascii="Times New Roman" w:hAnsi="Times New Roman" w:cs="Times New Roman"/>
        </w:rPr>
      </w:pPr>
      <w:r>
        <w:rPr>
          <w:rFonts w:hint="eastAsia" w:cs="Times New Roman"/>
          <w:lang w:val="en-US" w:eastAsia="zh-CN"/>
        </w:rPr>
        <w:t>18</w:t>
      </w:r>
      <w:r>
        <w:rPr>
          <w:rFonts w:hint="eastAsia" w:ascii="Times New Roman" w:hAnsi="Times New Roman" w:cs="Times New Roman"/>
          <w:lang w:val="en-US" w:eastAsia="zh-CN"/>
        </w:rPr>
        <w:t>.</w:t>
      </w:r>
      <w:r>
        <w:rPr>
          <w:rFonts w:ascii="Times New Roman" w:hAnsi="Times New Roman" w:cs="Times New Roman"/>
        </w:rPr>
        <w:t>吴丝蜀桐张高秋　李凭中国弹</w:t>
      </w:r>
      <w:r>
        <w:rPr>
          <w:rFonts w:hint="eastAsia" w:ascii="楷体" w:hAnsi="楷体" w:eastAsia="楷体" w:cs="楷体"/>
          <w:color w:val="0000FF"/>
          <w:sz w:val="36"/>
          <w:szCs w:val="44"/>
          <w:lang w:eastAsia="zh-CN"/>
        </w:rPr>
        <w:t>箜篌</w:t>
      </w:r>
      <w:r>
        <w:rPr>
          <w:rFonts w:ascii="Times New Roman" w:hAnsi="Times New Roman" w:cs="Times New Roman"/>
        </w:rPr>
        <w:t>　</w:t>
      </w:r>
      <w:r>
        <w:rPr>
          <w:rFonts w:hint="eastAsia" w:cs="Times New Roman"/>
          <w:lang w:val="en-US" w:eastAsia="zh-CN"/>
        </w:rPr>
        <w:t>19</w:t>
      </w:r>
      <w:r>
        <w:rPr>
          <w:rFonts w:hint="eastAsia" w:ascii="Times New Roman" w:hAnsi="Times New Roman" w:cs="Times New Roman"/>
          <w:lang w:val="en-US" w:eastAsia="zh-CN"/>
        </w:rPr>
        <w:t>.</w:t>
      </w:r>
      <w:r>
        <w:rPr>
          <w:rFonts w:ascii="Times New Roman" w:hAnsi="Times New Roman" w:cs="Times New Roman"/>
        </w:rPr>
        <w:t>昆山玉碎凤凰叫　芙蓉泣露香兰笑　</w:t>
      </w:r>
    </w:p>
    <w:p w14:paraId="627E0F1B">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default" w:ascii="Times New Roman" w:hAnsi="Times New Roman" w:eastAsia="宋体" w:cs="Times New Roman"/>
          <w:lang w:val="en-US" w:eastAsia="zh-CN"/>
        </w:rPr>
      </w:pPr>
      <w:r>
        <w:rPr>
          <w:rFonts w:hint="eastAsia" w:cs="Times New Roman"/>
          <w:lang w:val="en-US" w:eastAsia="zh-CN"/>
        </w:rPr>
        <w:t>20.十二门前融冷光 二十三丝动紫皇</w:t>
      </w:r>
    </w:p>
    <w:p w14:paraId="63048178">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宋体" w:hAnsi="宋体" w:cs="宋体"/>
          <w:bCs/>
          <w:kern w:val="0"/>
          <w:sz w:val="21"/>
          <w:szCs w:val="21"/>
          <w:lang w:eastAsia="zh-CN"/>
        </w:rPr>
      </w:pPr>
      <w:r>
        <w:rPr>
          <w:rFonts w:hint="eastAsia" w:ascii="宋体" w:hAnsi="宋体" w:cs="宋体"/>
          <w:bCs/>
          <w:kern w:val="0"/>
          <w:sz w:val="21"/>
          <w:szCs w:val="21"/>
          <w:lang w:eastAsia="zh-CN"/>
        </w:rPr>
        <w:br w:type="page"/>
      </w:r>
    </w:p>
    <w:p w14:paraId="239BB3F3">
      <w:pPr>
        <w:keepNext w:val="0"/>
        <w:keepLines w:val="0"/>
        <w:pageBreakBefore w:val="0"/>
        <w:widowControl w:val="0"/>
        <w:kinsoku/>
        <w:wordWrap/>
        <w:overflowPunct/>
        <w:topLinePunct w:val="0"/>
        <w:autoSpaceDE/>
        <w:autoSpaceDN/>
        <w:bidi w:val="0"/>
        <w:adjustRightInd/>
        <w:snapToGrid w:val="0"/>
        <w:spacing w:line="288" w:lineRule="auto"/>
        <w:textAlignment w:val="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CE588">
    <w:pPr>
      <w:pStyle w:val="4"/>
      <w:rPr>
        <w:rFonts w:hint="eastAsia" w:ascii="楷体" w:hAnsi="楷体" w:eastAsia="楷体" w:cs="楷体"/>
        <w:lang w:val="en-US" w:eastAsia="zh-CN"/>
      </w:rPr>
    </w:pPr>
    <w:r>
      <w:rPr>
        <w:rFonts w:hint="eastAsia" w:ascii="楷体" w:hAnsi="楷体" w:eastAsia="楷体" w:cs="楷体"/>
        <w:lang w:eastAsia="zh-CN"/>
      </w:rPr>
      <w:t>《</w:t>
    </w:r>
    <w:r>
      <w:rPr>
        <w:rFonts w:hint="eastAsia" w:ascii="楷体" w:hAnsi="楷体" w:eastAsia="楷体" w:cs="楷体"/>
        <w:lang w:val="en-US" w:eastAsia="zh-CN"/>
      </w:rPr>
      <w:t>李凭箜篌引》《锦瑟》《书愤》理解性默写小测（0121）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73151"/>
    <w:rsid w:val="2DF73151"/>
    <w:rsid w:val="6C6E7FF0"/>
    <w:rsid w:val="748E7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2026-01-20T00:11:00Z</dcterms:created>
  <dc:creator>小兮</dc:creator>
  <cp:lastModifiedBy>小兮</cp:lastModifiedBy>
  <cp:lastPrinted>2026-01-20T00:33:56Z</cp:lastPrinted>
  <dcterms:modified xsi:type="dcterms:W3CDTF">2026-01-20T00:39:31Z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6791FCC9631C46FC86C18E7E0836AF17_11</vt:lpwstr>
  </property>
  <property fmtid="{D5CDD505-2E9C-101B-9397-08002B2CF9AE}" pid="4" name="KSOTemplateDocerSaveRecord">
    <vt:lpwstr>eyJoZGlkIjoiNWMyZTBiMjAwNjQwM2UxOWM0Mjg4NWU5YzcyMTFhNTkiLCJ1c2VySWQiOiIzOTQ2NjQ2NjMifQ==</vt:lpwstr>
  </property>
</Properties>
</file>